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52EA" w14:textId="055D80B4" w:rsidR="00B43303" w:rsidRPr="004A7DDE" w:rsidRDefault="00F7518D" w:rsidP="00615582">
      <w:pPr>
        <w:pStyle w:val="Heading1"/>
      </w:pPr>
      <w:r w:rsidRPr="004A7DDE">
        <w:t xml:space="preserve">Out-of-area Prescribing Requests </w:t>
      </w:r>
    </w:p>
    <w:p w14:paraId="70422CE4" w14:textId="435DC786" w:rsidR="004B1202" w:rsidRDefault="00B43303" w:rsidP="004A7DDE">
      <w:r w:rsidRPr="004A7DDE">
        <w:t xml:space="preserve">Prescribing request from out-of-area specialists to GPs </w:t>
      </w:r>
      <w:r w:rsidR="00BD50B3" w:rsidRPr="004A7DDE">
        <w:t xml:space="preserve">in the </w:t>
      </w:r>
      <w:r w:rsidR="002A5133" w:rsidRPr="002A5133">
        <w:rPr>
          <w:b/>
          <w:bCs/>
          <w:color w:val="FF0000"/>
        </w:rPr>
        <w:t>[</w:t>
      </w:r>
      <w:r w:rsidR="002A5133">
        <w:rPr>
          <w:b/>
          <w:bCs/>
          <w:color w:val="FF0000"/>
        </w:rPr>
        <w:t>Region</w:t>
      </w:r>
      <w:r w:rsidR="002A5133" w:rsidRPr="002A5133">
        <w:rPr>
          <w:b/>
          <w:bCs/>
          <w:color w:val="FF0000"/>
        </w:rPr>
        <w:t>]</w:t>
      </w:r>
      <w:r w:rsidR="00BD50B3" w:rsidRPr="004A7DDE">
        <w:t xml:space="preserve"> region </w:t>
      </w:r>
      <w:r w:rsidRPr="004A7DDE">
        <w:t xml:space="preserve">where there </w:t>
      </w:r>
      <w:r w:rsidR="00C436BC" w:rsidRPr="004A7DDE">
        <w:t>is</w:t>
      </w:r>
      <w:r w:rsidRPr="004A7DDE">
        <w:t xml:space="preserve"> </w:t>
      </w:r>
      <w:r w:rsidR="008E1199" w:rsidRPr="004A7DDE">
        <w:t xml:space="preserve">an </w:t>
      </w:r>
      <w:r w:rsidRPr="004A7DDE">
        <w:t>inconsistenc</w:t>
      </w:r>
      <w:r w:rsidR="00C436BC" w:rsidRPr="004A7DDE">
        <w:t>y</w:t>
      </w:r>
      <w:r w:rsidRPr="004A7DDE">
        <w:t xml:space="preserve"> </w:t>
      </w:r>
      <w:r w:rsidR="00C436BC" w:rsidRPr="004A7DDE">
        <w:t>with the</w:t>
      </w:r>
      <w:r w:rsidRPr="004A7DDE">
        <w:t xml:space="preserve"> recommended</w:t>
      </w:r>
      <w:r w:rsidR="00C436BC" w:rsidRPr="004A7DDE">
        <w:t xml:space="preserve"> local and out-of-area</w:t>
      </w:r>
      <w:r w:rsidRPr="004A7DDE">
        <w:t xml:space="preserve"> colour classification</w:t>
      </w:r>
      <w:r w:rsidR="004B1202">
        <w:t>.</w:t>
      </w:r>
    </w:p>
    <w:p w14:paraId="28E74A6E" w14:textId="69E0CDC0" w:rsidR="00F63F95" w:rsidRDefault="00C436BC" w:rsidP="004A7DDE">
      <w:r w:rsidRPr="00D81830">
        <w:rPr>
          <w:rStyle w:val="Heading2Char"/>
        </w:rPr>
        <w:t>Recommendation</w:t>
      </w:r>
    </w:p>
    <w:p w14:paraId="2A7B3FA0" w14:textId="4B864662" w:rsidR="00C436BC" w:rsidRPr="004A7DDE" w:rsidRDefault="00C436BC" w:rsidP="00D0370E">
      <w:pPr>
        <w:pStyle w:val="Heading3"/>
      </w:pPr>
      <w:r w:rsidRPr="004A7DDE">
        <w:t xml:space="preserve">If an out-of-area specialist requests that a </w:t>
      </w:r>
      <w:r w:rsidR="002A5133" w:rsidRPr="002A5133">
        <w:rPr>
          <w:color w:val="FF0000"/>
        </w:rPr>
        <w:t>[Region]</w:t>
      </w:r>
      <w:r w:rsidRPr="004A7DDE">
        <w:t xml:space="preserve"> GP prescribe an item for which there is no </w:t>
      </w:r>
      <w:r w:rsidR="002A5133" w:rsidRPr="002A5133">
        <w:rPr>
          <w:color w:val="FF0000"/>
        </w:rPr>
        <w:t>[Region]</w:t>
      </w:r>
      <w:r w:rsidRPr="002A5133">
        <w:rPr>
          <w:color w:val="FF0000"/>
        </w:rPr>
        <w:t xml:space="preserve"> </w:t>
      </w:r>
      <w:r w:rsidRPr="004A7DDE">
        <w:t>position, the following course of action should be taken</w:t>
      </w:r>
      <w:r w:rsidR="009859CE">
        <w:t>.</w:t>
      </w:r>
    </w:p>
    <w:p w14:paraId="2C9A93B4" w14:textId="45EE32E1" w:rsidR="00D0370E" w:rsidRDefault="00875893" w:rsidP="00E13DAB">
      <w:pPr>
        <w:spacing w:before="0"/>
      </w:pPr>
      <w:r w:rsidRPr="004A7DDE">
        <w:t xml:space="preserve">The GP should contact the local CCG </w:t>
      </w:r>
      <w:bookmarkStart w:id="0" w:name="_Hlk29396232"/>
      <w:r w:rsidRPr="004A7DDE">
        <w:t>medicines optimisation team</w:t>
      </w:r>
      <w:r w:rsidR="00FB7B64" w:rsidRPr="004A7DDE">
        <w:t xml:space="preserve"> for</w:t>
      </w:r>
      <w:r w:rsidRPr="004A7DDE">
        <w:t xml:space="preserve"> </w:t>
      </w:r>
      <w:bookmarkEnd w:id="0"/>
      <w:r w:rsidRPr="004A7DDE">
        <w:t>further advice.</w:t>
      </w:r>
      <w:r w:rsidR="004E0E4E" w:rsidRPr="004A7DDE">
        <w:t xml:space="preserve"> The CCG medicines optimisation team </w:t>
      </w:r>
      <w:r w:rsidR="008C7D30" w:rsidRPr="004A7DDE">
        <w:t>sh</w:t>
      </w:r>
      <w:r w:rsidR="00C436BC" w:rsidRPr="004A7DDE">
        <w:t>ould</w:t>
      </w:r>
      <w:r w:rsidR="00C167A2" w:rsidRPr="004A7DDE">
        <w:t>,</w:t>
      </w:r>
      <w:r w:rsidR="00C436BC" w:rsidRPr="004A7DDE">
        <w:t xml:space="preserve"> </w:t>
      </w:r>
      <w:r w:rsidR="00EA0103" w:rsidRPr="004A7DDE">
        <w:t>if it feels this is appropriate and relevant</w:t>
      </w:r>
      <w:r w:rsidR="00C167A2" w:rsidRPr="004A7DDE">
        <w:t>,</w:t>
      </w:r>
      <w:r w:rsidR="00EA0103" w:rsidRPr="004A7DDE">
        <w:t xml:space="preserve"> </w:t>
      </w:r>
      <w:r w:rsidR="00C436BC" w:rsidRPr="004A7DDE">
        <w:t xml:space="preserve">apply to the </w:t>
      </w:r>
      <w:r w:rsidR="009859CE">
        <w:rPr>
          <w:b/>
          <w:bCs/>
          <w:color w:val="FF0000"/>
        </w:rPr>
        <w:t xml:space="preserve">[APC </w:t>
      </w:r>
      <w:proofErr w:type="gramStart"/>
      <w:r w:rsidR="009859CE">
        <w:rPr>
          <w:b/>
          <w:bCs/>
          <w:color w:val="FF0000"/>
        </w:rPr>
        <w:t xml:space="preserve">name] </w:t>
      </w:r>
      <w:r w:rsidR="002A5133">
        <w:rPr>
          <w:rFonts w:cs="Arial"/>
          <w:color w:val="000000" w:themeColor="text1"/>
          <w:sz w:val="20"/>
        </w:rPr>
        <w:t xml:space="preserve"> </w:t>
      </w:r>
      <w:r w:rsidR="00976AD7" w:rsidRPr="004A7DDE">
        <w:t>Area</w:t>
      </w:r>
      <w:proofErr w:type="gramEnd"/>
      <w:r w:rsidR="00976AD7" w:rsidRPr="004A7DDE">
        <w:t xml:space="preserve"> Prescribing Committee (</w:t>
      </w:r>
      <w:r w:rsidR="002A5133" w:rsidRPr="002A5133">
        <w:rPr>
          <w:b/>
          <w:bCs/>
          <w:color w:val="FF0000"/>
        </w:rPr>
        <w:t>APC acronym</w:t>
      </w:r>
      <w:r w:rsidR="00976AD7" w:rsidRPr="004A7DDE">
        <w:t>)</w:t>
      </w:r>
      <w:r w:rsidR="00C436BC" w:rsidRPr="004A7DDE">
        <w:t xml:space="preserve"> </w:t>
      </w:r>
      <w:r w:rsidR="00C167A2" w:rsidRPr="004A7DDE">
        <w:t xml:space="preserve">through normal processes </w:t>
      </w:r>
      <w:r w:rsidR="00C436BC" w:rsidRPr="004A7DDE">
        <w:t>requesting a review of the medicine or device.</w:t>
      </w:r>
      <w:r w:rsidRPr="004A7DDE">
        <w:t xml:space="preserve"> </w:t>
      </w:r>
    </w:p>
    <w:p w14:paraId="1380657B" w14:textId="75B71CF0" w:rsidR="00DF2B15" w:rsidRPr="004A7DDE" w:rsidRDefault="00C436BC" w:rsidP="00D0370E">
      <w:r w:rsidRPr="00E13DAB">
        <w:rPr>
          <w:b/>
          <w:bCs/>
        </w:rPr>
        <w:t>Please note</w:t>
      </w:r>
      <w:r w:rsidRPr="004A7DDE">
        <w:t xml:space="preserve">: if prescribing has already commenced this must be retained by the specialist, at their own departmental cost, until the outcome of </w:t>
      </w:r>
      <w:r w:rsidR="004B7C2F" w:rsidRPr="004A7DDE">
        <w:t xml:space="preserve">the </w:t>
      </w:r>
      <w:r w:rsidR="002A5133" w:rsidRPr="002A5133">
        <w:rPr>
          <w:b/>
          <w:bCs/>
          <w:color w:val="FF0000"/>
        </w:rPr>
        <w:t>[APC acronym</w:t>
      </w:r>
      <w:r w:rsidR="002A5133">
        <w:rPr>
          <w:b/>
          <w:bCs/>
          <w:color w:val="FF0000"/>
        </w:rPr>
        <w:t>]</w:t>
      </w:r>
      <w:r w:rsidRPr="004A7DDE">
        <w:t xml:space="preserve"> application is available</w:t>
      </w:r>
      <w:r w:rsidR="004B7C2F" w:rsidRPr="004A7DDE">
        <w:t xml:space="preserve">. </w:t>
      </w:r>
    </w:p>
    <w:p w14:paraId="701439E2" w14:textId="706B246E" w:rsidR="00DF2B15" w:rsidRPr="004A7DDE" w:rsidRDefault="00DF2B15" w:rsidP="00D0370E">
      <w:pPr>
        <w:pStyle w:val="Heading3"/>
      </w:pPr>
      <w:r w:rsidRPr="004A7DDE">
        <w:t xml:space="preserve">If an out-of-area specialist request GP prescribing and the </w:t>
      </w:r>
      <w:r w:rsidR="002A5133" w:rsidRPr="002A5133">
        <w:rPr>
          <w:color w:val="FF0000"/>
        </w:rPr>
        <w:t>[Region]</w:t>
      </w:r>
      <w:r w:rsidRPr="004A7DDE">
        <w:t xml:space="preserve"> position is Black</w:t>
      </w:r>
    </w:p>
    <w:p w14:paraId="3ED52428" w14:textId="706B95C1" w:rsidR="00DF2B15" w:rsidRPr="004A7DDE" w:rsidRDefault="00DF2B15" w:rsidP="00E13DAB">
      <w:pPr>
        <w:spacing w:before="0"/>
      </w:pPr>
      <w:r w:rsidRPr="004A7DDE">
        <w:t xml:space="preserve">Not recommended or commissioned in </w:t>
      </w:r>
      <w:r w:rsidR="002A5133">
        <w:rPr>
          <w:b/>
          <w:bCs/>
          <w:color w:val="FF0000"/>
        </w:rPr>
        <w:t>[Region]</w:t>
      </w:r>
      <w:r w:rsidRPr="004A7DDE">
        <w:t xml:space="preserve">. Therefore, refer the patient back to out-of-area provider trust to recommend an alternative drug. </w:t>
      </w:r>
    </w:p>
    <w:p w14:paraId="146B9DBC" w14:textId="4C41A01B" w:rsidR="00DF2B15" w:rsidRPr="004A7DDE" w:rsidRDefault="00DF2B15" w:rsidP="00D0370E">
      <w:pPr>
        <w:pStyle w:val="Heading3"/>
      </w:pPr>
      <w:r w:rsidRPr="004A7DDE">
        <w:t xml:space="preserve">If an out-of-area specialist request GP prescribing and the </w:t>
      </w:r>
      <w:r w:rsidR="002A5133" w:rsidRPr="002A5133">
        <w:rPr>
          <w:color w:val="FF0000"/>
        </w:rPr>
        <w:t>[Region]</w:t>
      </w:r>
      <w:r w:rsidR="002A5133">
        <w:rPr>
          <w:color w:val="FF0000"/>
        </w:rPr>
        <w:t xml:space="preserve"> </w:t>
      </w:r>
      <w:r w:rsidRPr="004A7DDE">
        <w:t>position is Grey</w:t>
      </w:r>
    </w:p>
    <w:p w14:paraId="56EB4D50" w14:textId="25943B7A" w:rsidR="001C4CA4" w:rsidRPr="004A7DDE" w:rsidRDefault="00DF2B15" w:rsidP="00E13DAB">
      <w:pPr>
        <w:spacing w:before="0"/>
      </w:pPr>
      <w:r w:rsidRPr="004A7DDE">
        <w:t xml:space="preserve">Not recommended or commissioned in </w:t>
      </w:r>
      <w:r w:rsidR="002A5133" w:rsidRPr="002A5133">
        <w:rPr>
          <w:b/>
          <w:bCs/>
          <w:color w:val="FF0000"/>
        </w:rPr>
        <w:t>[Region]</w:t>
      </w:r>
      <w:r w:rsidRPr="004A7DDE">
        <w:t xml:space="preserve">. Therefore, refer the patient back to out-of-area provider trust to recommend an alternative drug. </w:t>
      </w:r>
    </w:p>
    <w:p w14:paraId="797C2F51" w14:textId="03351768" w:rsidR="00DF2B15" w:rsidRPr="004A7DDE" w:rsidRDefault="00DF2B15" w:rsidP="00D0370E">
      <w:r w:rsidRPr="00E13DAB">
        <w:rPr>
          <w:b/>
          <w:bCs/>
        </w:rPr>
        <w:t>Please note</w:t>
      </w:r>
      <w:r w:rsidRPr="004A7DDE">
        <w:t>: If classified as ‘Grey – not prioritised’ the</w:t>
      </w:r>
      <w:r w:rsidR="00C870DF" w:rsidRPr="004A7DDE">
        <w:t xml:space="preserve"> GP should contact the local CCG medicines optimisation team</w:t>
      </w:r>
      <w:r w:rsidR="001B27FE" w:rsidRPr="004A7DDE">
        <w:t xml:space="preserve"> for</w:t>
      </w:r>
      <w:r w:rsidR="00C870DF" w:rsidRPr="004A7DDE">
        <w:t xml:space="preserve"> further advice. The CCG </w:t>
      </w:r>
      <w:r w:rsidR="004E0E4E" w:rsidRPr="004A7DDE">
        <w:t xml:space="preserve">medicines optimisation team </w:t>
      </w:r>
      <w:r w:rsidR="00C870DF" w:rsidRPr="004A7DDE">
        <w:t xml:space="preserve">should, if it feels this is appropriate and relevant, apply to the </w:t>
      </w:r>
      <w:r w:rsidR="002A5133">
        <w:rPr>
          <w:b/>
          <w:bCs/>
          <w:color w:val="FF0000"/>
        </w:rPr>
        <w:t xml:space="preserve">[APC name] </w:t>
      </w:r>
      <w:r w:rsidR="00C870DF" w:rsidRPr="004A7DDE">
        <w:t>Area Prescribing Committee (</w:t>
      </w:r>
      <w:r w:rsidR="002A5133">
        <w:rPr>
          <w:b/>
          <w:bCs/>
          <w:color w:val="FF0000"/>
        </w:rPr>
        <w:t>APC acronym</w:t>
      </w:r>
      <w:r w:rsidR="00C870DF" w:rsidRPr="004A7DDE">
        <w:t xml:space="preserve">) through normal processes requesting a review of the medicine or device. </w:t>
      </w:r>
      <w:r w:rsidR="00C870DF" w:rsidRPr="000C451F">
        <w:rPr>
          <w:b/>
          <w:bCs/>
        </w:rPr>
        <w:t>Please note</w:t>
      </w:r>
      <w:r w:rsidR="00C870DF" w:rsidRPr="004A7DDE">
        <w:t xml:space="preserve">: if prescribing has already commenced this must be retained by the specialist, at their own departmental cost, until the outcome of the </w:t>
      </w:r>
      <w:r w:rsidR="009859CE" w:rsidRPr="009859CE">
        <w:rPr>
          <w:b/>
          <w:bCs/>
          <w:color w:val="FF0000"/>
        </w:rPr>
        <w:t>[</w:t>
      </w:r>
      <w:r w:rsidR="002A5133" w:rsidRPr="009859CE">
        <w:rPr>
          <w:b/>
          <w:bCs/>
          <w:color w:val="FF0000"/>
        </w:rPr>
        <w:t>APC acronym</w:t>
      </w:r>
      <w:r w:rsidR="009859CE" w:rsidRPr="009859CE">
        <w:rPr>
          <w:b/>
          <w:bCs/>
          <w:color w:val="FF0000"/>
        </w:rPr>
        <w:t>]</w:t>
      </w:r>
      <w:r w:rsidR="00C870DF" w:rsidRPr="004A7DDE">
        <w:t xml:space="preserve"> application is available</w:t>
      </w:r>
      <w:r w:rsidRPr="004A7DDE">
        <w:t xml:space="preserve">. </w:t>
      </w:r>
    </w:p>
    <w:p w14:paraId="2E79AD24" w14:textId="2756509E" w:rsidR="00DF2B15" w:rsidRPr="004A7DDE" w:rsidRDefault="00DF2B15" w:rsidP="00D0370E">
      <w:pPr>
        <w:pStyle w:val="Heading3"/>
      </w:pPr>
      <w:r w:rsidRPr="004A7DDE">
        <w:t xml:space="preserve">If an out-of-area specialist request GP prescribing and the </w:t>
      </w:r>
      <w:r w:rsidR="002A5133" w:rsidRPr="002A5133">
        <w:rPr>
          <w:color w:val="FF0000"/>
        </w:rPr>
        <w:t>[Region]</w:t>
      </w:r>
      <w:r w:rsidR="002A5133">
        <w:rPr>
          <w:color w:val="FF0000"/>
        </w:rPr>
        <w:t xml:space="preserve"> </w:t>
      </w:r>
      <w:r w:rsidRPr="004A7DDE">
        <w:t>position is Red</w:t>
      </w:r>
    </w:p>
    <w:p w14:paraId="7E931F5E" w14:textId="340FB325" w:rsidR="00C436BC" w:rsidRPr="004A7DDE" w:rsidRDefault="00DF2B15" w:rsidP="00E13DAB">
      <w:pPr>
        <w:spacing w:before="0"/>
      </w:pPr>
      <w:r w:rsidRPr="004A7DDE">
        <w:t xml:space="preserve">Prescribing responsibility rests with the specialist. Therefore, the patient should be </w:t>
      </w:r>
      <w:proofErr w:type="gramStart"/>
      <w:r w:rsidRPr="004A7DDE">
        <w:t>referred back</w:t>
      </w:r>
      <w:proofErr w:type="gramEnd"/>
      <w:r w:rsidRPr="004A7DDE">
        <w:t xml:space="preserve"> to the provider trust for on-going prescribing.</w:t>
      </w:r>
    </w:p>
    <w:p w14:paraId="45CA5F97" w14:textId="093A2922" w:rsidR="004B7C2F" w:rsidRPr="004A7DDE" w:rsidRDefault="004B7C2F" w:rsidP="00D0370E">
      <w:pPr>
        <w:pStyle w:val="Heading3"/>
      </w:pPr>
      <w:r w:rsidRPr="004A7DDE">
        <w:t xml:space="preserve">If an out-of-area specialist request GP prescribing and the </w:t>
      </w:r>
      <w:r w:rsidR="002A5133" w:rsidRPr="002A5133">
        <w:rPr>
          <w:color w:val="FF0000"/>
        </w:rPr>
        <w:t>[Region]</w:t>
      </w:r>
      <w:r w:rsidR="002A5133">
        <w:rPr>
          <w:color w:val="FF0000"/>
        </w:rPr>
        <w:t xml:space="preserve"> </w:t>
      </w:r>
      <w:r w:rsidRPr="004A7DDE">
        <w:t xml:space="preserve">position is </w:t>
      </w:r>
      <w:r w:rsidR="00890C8A" w:rsidRPr="004A7DDE">
        <w:t>Purple Shared Care</w:t>
      </w:r>
    </w:p>
    <w:p w14:paraId="7F66A7EC" w14:textId="0F5AD4CB" w:rsidR="008E1199" w:rsidRPr="004A7DDE" w:rsidRDefault="004B7C2F" w:rsidP="00E13DAB">
      <w:pPr>
        <w:spacing w:before="0"/>
      </w:pPr>
      <w:r w:rsidRPr="004A7DDE">
        <w:t xml:space="preserve">The GP can consider accepting on-going prescribing as per the </w:t>
      </w:r>
      <w:r w:rsidR="009859CE" w:rsidRPr="009859CE">
        <w:rPr>
          <w:b/>
          <w:bCs/>
          <w:color w:val="FF0000"/>
        </w:rPr>
        <w:t>[APC acronym]</w:t>
      </w:r>
      <w:r w:rsidR="009859CE" w:rsidRPr="004A7DDE">
        <w:t xml:space="preserve"> </w:t>
      </w:r>
      <w:r w:rsidRPr="004A7DDE">
        <w:t xml:space="preserve">shared-care agreement. The out-of-area specialist must initiate and stabilise the patient according to the criteria specified in the </w:t>
      </w:r>
      <w:r w:rsidR="009859CE" w:rsidRPr="009859CE">
        <w:rPr>
          <w:b/>
          <w:bCs/>
          <w:color w:val="FF0000"/>
        </w:rPr>
        <w:t>[APC acronym]</w:t>
      </w:r>
      <w:r w:rsidR="009859CE" w:rsidRPr="004A7DDE">
        <w:t xml:space="preserve"> </w:t>
      </w:r>
      <w:r w:rsidR="00976AD7" w:rsidRPr="004A7DDE">
        <w:t>S</w:t>
      </w:r>
      <w:r w:rsidR="002A5133">
        <w:t>hared care guideline.</w:t>
      </w:r>
      <w:r w:rsidR="00C0331D" w:rsidRPr="004A7DDE">
        <w:t xml:space="preserve"> </w:t>
      </w:r>
    </w:p>
    <w:p w14:paraId="015CA3B3" w14:textId="54AD74ED" w:rsidR="004B7C2F" w:rsidRPr="004A7DDE" w:rsidRDefault="00C0331D" w:rsidP="00D0370E">
      <w:r w:rsidRPr="00E13DAB">
        <w:rPr>
          <w:b/>
          <w:bCs/>
        </w:rPr>
        <w:lastRenderedPageBreak/>
        <w:t>Please note</w:t>
      </w:r>
      <w:r w:rsidRPr="004A7DDE">
        <w:t xml:space="preserve">: </w:t>
      </w:r>
      <w:r w:rsidR="00FC43EF" w:rsidRPr="004A7DDE">
        <w:t xml:space="preserve">It would normally be expected </w:t>
      </w:r>
      <w:r w:rsidR="009A1BC5" w:rsidRPr="004A7DDE">
        <w:t xml:space="preserve">that prescribers </w:t>
      </w:r>
      <w:r w:rsidR="007D4127" w:rsidRPr="004A7DDE">
        <w:t xml:space="preserve">would agree to an </w:t>
      </w:r>
      <w:r w:rsidR="008B2F43" w:rsidRPr="004A7DDE">
        <w:t>out-of-area specialist</w:t>
      </w:r>
      <w:r w:rsidR="00E5568C" w:rsidRPr="004A7DDE">
        <w:t xml:space="preserve"> request</w:t>
      </w:r>
      <w:r w:rsidR="008B2F43" w:rsidRPr="004A7DDE">
        <w:t xml:space="preserve"> </w:t>
      </w:r>
      <w:r w:rsidRPr="004A7DDE">
        <w:t xml:space="preserve">if the </w:t>
      </w:r>
      <w:r w:rsidR="009859CE" w:rsidRPr="009859CE">
        <w:rPr>
          <w:b/>
          <w:bCs/>
          <w:color w:val="FF0000"/>
        </w:rPr>
        <w:t>[Region]</w:t>
      </w:r>
      <w:r w:rsidR="009859CE">
        <w:rPr>
          <w:color w:val="FF0000"/>
        </w:rPr>
        <w:t xml:space="preserve"> </w:t>
      </w:r>
      <w:r w:rsidRPr="004A7DDE">
        <w:t xml:space="preserve">RAG </w:t>
      </w:r>
      <w:r w:rsidR="00CE16A4" w:rsidRPr="004A7DDE">
        <w:t>designation</w:t>
      </w:r>
      <w:r w:rsidRPr="004A7DDE">
        <w:t xml:space="preserve"> is </w:t>
      </w:r>
      <w:r w:rsidR="00E918A9" w:rsidRPr="004A7DDE">
        <w:t>g</w:t>
      </w:r>
      <w:r w:rsidRPr="004A7DDE">
        <w:t>reen</w:t>
      </w:r>
      <w:r w:rsidR="00DF2B15" w:rsidRPr="004A7DDE">
        <w:t xml:space="preserve"> or </w:t>
      </w:r>
      <w:r w:rsidR="00E918A9" w:rsidRPr="004A7DDE">
        <w:t>a</w:t>
      </w:r>
      <w:r w:rsidR="00DF2B15" w:rsidRPr="004A7DDE">
        <w:t>mber</w:t>
      </w:r>
      <w:r w:rsidRPr="004A7DDE">
        <w:t xml:space="preserve">. </w:t>
      </w:r>
    </w:p>
    <w:p w14:paraId="0F387284" w14:textId="716AC654" w:rsidR="00867745" w:rsidRPr="009859CE" w:rsidRDefault="00167E89" w:rsidP="004A7DDE">
      <w:pPr>
        <w:rPr>
          <w:color w:val="0070C0"/>
        </w:rPr>
      </w:pPr>
      <w:r w:rsidRPr="004A7DDE">
        <w:t xml:space="preserve">For </w:t>
      </w:r>
      <w:r w:rsidR="003A6AE3" w:rsidRPr="004A7DDE">
        <w:t xml:space="preserve">prescribing </w:t>
      </w:r>
      <w:r w:rsidRPr="004A7DDE">
        <w:t>requests</w:t>
      </w:r>
      <w:r w:rsidR="003A6AE3" w:rsidRPr="004A7DDE">
        <w:t xml:space="preserve"> following a private consultation refer to </w:t>
      </w:r>
      <w:r w:rsidR="009859CE" w:rsidRPr="009859CE">
        <w:rPr>
          <w:b/>
          <w:bCs/>
          <w:color w:val="FF0000"/>
          <w:u w:val="single"/>
        </w:rPr>
        <w:t xml:space="preserve">[Region name] </w:t>
      </w:r>
      <w:r w:rsidR="009859CE" w:rsidRPr="009859CE">
        <w:rPr>
          <w:color w:val="0070C0"/>
          <w:u w:val="single"/>
        </w:rPr>
        <w:t>guidance.</w:t>
      </w:r>
    </w:p>
    <w:sectPr w:rsidR="00867745" w:rsidRPr="009859CE" w:rsidSect="004E27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7007" w14:textId="77777777" w:rsidR="00435395" w:rsidRDefault="00435395" w:rsidP="0049658F">
      <w:pPr>
        <w:spacing w:after="0" w:line="240" w:lineRule="auto"/>
      </w:pPr>
      <w:r>
        <w:separator/>
      </w:r>
    </w:p>
  </w:endnote>
  <w:endnote w:type="continuationSeparator" w:id="0">
    <w:p w14:paraId="5424768E" w14:textId="77777777" w:rsidR="00435395" w:rsidRDefault="00435395" w:rsidP="0049658F">
      <w:pPr>
        <w:spacing w:after="0" w:line="240" w:lineRule="auto"/>
      </w:pPr>
      <w:r>
        <w:continuationSeparator/>
      </w:r>
    </w:p>
  </w:endnote>
  <w:endnote w:type="continuationNotice" w:id="1">
    <w:p w14:paraId="0C617332" w14:textId="77777777" w:rsidR="00435395" w:rsidRDefault="00435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72E" w14:textId="75C120B6" w:rsidR="0049658F" w:rsidRPr="00924D5C" w:rsidRDefault="00D34F9B" w:rsidP="00C632EB">
    <w:pPr>
      <w:pStyle w:val="Footer"/>
      <w:rPr>
        <w:rFonts w:cstheme="minorHAnsi"/>
        <w:sz w:val="18"/>
        <w:szCs w:val="18"/>
      </w:rPr>
    </w:pPr>
    <w:r w:rsidRPr="00924D5C">
      <w:rPr>
        <w:sz w:val="18"/>
        <w:szCs w:val="18"/>
      </w:rPr>
      <w:tab/>
    </w:r>
    <w:sdt>
      <w:sdtPr>
        <w:rPr>
          <w:rFonts w:cstheme="minorHAnsi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29227A" w:rsidRPr="00924D5C">
          <w:rPr>
            <w:rFonts w:cstheme="minorHAnsi"/>
            <w:sz w:val="18"/>
            <w:szCs w:val="18"/>
          </w:rPr>
          <w:tab/>
        </w:r>
        <w:r w:rsidRPr="00924D5C">
          <w:rPr>
            <w:rFonts w:cstheme="minorHAnsi"/>
            <w:sz w:val="18"/>
            <w:szCs w:val="18"/>
          </w:rPr>
          <w:t xml:space="preserve">Page </w:t>
        </w:r>
        <w:r w:rsidRPr="00924D5C">
          <w:rPr>
            <w:rFonts w:cstheme="minorHAnsi"/>
            <w:sz w:val="18"/>
            <w:szCs w:val="18"/>
          </w:rPr>
          <w:fldChar w:fldCharType="begin"/>
        </w:r>
        <w:r w:rsidRPr="00924D5C">
          <w:rPr>
            <w:rFonts w:cstheme="minorHAnsi"/>
            <w:sz w:val="18"/>
            <w:szCs w:val="18"/>
          </w:rPr>
          <w:instrText xml:space="preserve"> PAGE </w:instrText>
        </w:r>
        <w:r w:rsidRPr="00924D5C">
          <w:rPr>
            <w:rFonts w:cstheme="minorHAnsi"/>
            <w:sz w:val="18"/>
            <w:szCs w:val="18"/>
          </w:rPr>
          <w:fldChar w:fldCharType="separate"/>
        </w:r>
        <w:r w:rsidRPr="00924D5C">
          <w:rPr>
            <w:rFonts w:cstheme="minorHAnsi"/>
            <w:sz w:val="18"/>
            <w:szCs w:val="18"/>
          </w:rPr>
          <w:t>2</w:t>
        </w:r>
        <w:r w:rsidRPr="00924D5C">
          <w:rPr>
            <w:rFonts w:cstheme="minorHAnsi"/>
            <w:sz w:val="18"/>
            <w:szCs w:val="18"/>
          </w:rPr>
          <w:fldChar w:fldCharType="end"/>
        </w:r>
        <w:r w:rsidRPr="00924D5C">
          <w:rPr>
            <w:rFonts w:cstheme="minorHAnsi"/>
            <w:sz w:val="18"/>
            <w:szCs w:val="18"/>
          </w:rPr>
          <w:t xml:space="preserve"> of </w:t>
        </w:r>
        <w:r w:rsidR="00924D5C" w:rsidRPr="00924D5C">
          <w:rPr>
            <w:rFonts w:cstheme="minorHAnsi"/>
            <w:sz w:val="18"/>
            <w:szCs w:val="18"/>
          </w:rPr>
          <w:fldChar w:fldCharType="begin"/>
        </w:r>
        <w:r w:rsidR="00924D5C" w:rsidRPr="00924D5C">
          <w:rPr>
            <w:rFonts w:cstheme="minorHAnsi"/>
            <w:sz w:val="18"/>
            <w:szCs w:val="18"/>
          </w:rPr>
          <w:instrText xml:space="preserve"> NUMPAGES  </w:instrText>
        </w:r>
        <w:r w:rsidR="00924D5C" w:rsidRPr="00924D5C">
          <w:rPr>
            <w:rFonts w:cstheme="minorHAnsi"/>
            <w:sz w:val="18"/>
            <w:szCs w:val="18"/>
          </w:rPr>
          <w:fldChar w:fldCharType="separate"/>
        </w:r>
        <w:r w:rsidRPr="00924D5C">
          <w:rPr>
            <w:rFonts w:cstheme="minorHAnsi"/>
            <w:sz w:val="18"/>
            <w:szCs w:val="18"/>
          </w:rPr>
          <w:t>2</w:t>
        </w:r>
        <w:r w:rsidR="00924D5C" w:rsidRPr="00924D5C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FEEE" w14:textId="254E6505" w:rsidR="009859CE" w:rsidRDefault="009859CE">
    <w:pPr>
      <w:pStyle w:val="Footer"/>
    </w:pPr>
    <w:sdt>
      <w:sdtPr>
        <w:rPr>
          <w:rFonts w:cstheme="minorHAnsi"/>
          <w:sz w:val="18"/>
          <w:szCs w:val="18"/>
        </w:rPr>
        <w:id w:val="-512913497"/>
        <w:docPartObj>
          <w:docPartGallery w:val="Page Numbers (Top of Page)"/>
          <w:docPartUnique/>
        </w:docPartObj>
      </w:sdtPr>
      <w:sdtContent>
        <w:r w:rsidRPr="00924D5C">
          <w:rPr>
            <w:rFonts w:cstheme="minorHAnsi"/>
            <w:sz w:val="18"/>
            <w:szCs w:val="18"/>
          </w:rPr>
          <w:tab/>
          <w:t xml:space="preserve">Page </w:t>
        </w:r>
        <w:r w:rsidRPr="00924D5C">
          <w:rPr>
            <w:rFonts w:cstheme="minorHAnsi"/>
            <w:sz w:val="18"/>
            <w:szCs w:val="18"/>
          </w:rPr>
          <w:fldChar w:fldCharType="begin"/>
        </w:r>
        <w:r w:rsidRPr="00924D5C">
          <w:rPr>
            <w:rFonts w:cstheme="minorHAnsi"/>
            <w:sz w:val="18"/>
            <w:szCs w:val="18"/>
          </w:rPr>
          <w:instrText xml:space="preserve"> PAGE </w:instrText>
        </w:r>
        <w:r w:rsidRPr="00924D5C">
          <w:rPr>
            <w:rFonts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2</w:t>
        </w:r>
        <w:r w:rsidRPr="00924D5C">
          <w:rPr>
            <w:rFonts w:cstheme="minorHAnsi"/>
            <w:sz w:val="18"/>
            <w:szCs w:val="18"/>
          </w:rPr>
          <w:fldChar w:fldCharType="end"/>
        </w:r>
        <w:r w:rsidRPr="00924D5C">
          <w:rPr>
            <w:rFonts w:cstheme="minorHAnsi"/>
            <w:sz w:val="18"/>
            <w:szCs w:val="18"/>
          </w:rPr>
          <w:t xml:space="preserve"> of </w:t>
        </w:r>
        <w:r w:rsidRPr="00924D5C">
          <w:rPr>
            <w:rFonts w:cstheme="minorHAnsi"/>
            <w:sz w:val="18"/>
            <w:szCs w:val="18"/>
          </w:rPr>
          <w:fldChar w:fldCharType="begin"/>
        </w:r>
        <w:r w:rsidRPr="00924D5C">
          <w:rPr>
            <w:rFonts w:cstheme="minorHAnsi"/>
            <w:sz w:val="18"/>
            <w:szCs w:val="18"/>
          </w:rPr>
          <w:instrText xml:space="preserve"> NUMPAGES  </w:instrText>
        </w:r>
        <w:r w:rsidRPr="00924D5C">
          <w:rPr>
            <w:rFonts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2</w:t>
        </w:r>
        <w:r w:rsidRPr="00924D5C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6338" w14:textId="77777777" w:rsidR="00435395" w:rsidRDefault="00435395" w:rsidP="0049658F">
      <w:pPr>
        <w:spacing w:after="0" w:line="240" w:lineRule="auto"/>
      </w:pPr>
      <w:r>
        <w:separator/>
      </w:r>
    </w:p>
  </w:footnote>
  <w:footnote w:type="continuationSeparator" w:id="0">
    <w:p w14:paraId="66C6FA74" w14:textId="77777777" w:rsidR="00435395" w:rsidRDefault="00435395" w:rsidP="0049658F">
      <w:pPr>
        <w:spacing w:after="0" w:line="240" w:lineRule="auto"/>
      </w:pPr>
      <w:r>
        <w:continuationSeparator/>
      </w:r>
    </w:p>
  </w:footnote>
  <w:footnote w:type="continuationNotice" w:id="1">
    <w:p w14:paraId="158A7082" w14:textId="77777777" w:rsidR="00435395" w:rsidRDefault="00435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3210" w14:textId="213F714C" w:rsidR="0027113B" w:rsidRDefault="00631B0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9736"/>
    </w:tblGrid>
    <w:tr w:rsidR="005D2C6B" w:rsidRPr="005D2C6B" w14:paraId="5ED9AE44" w14:textId="77777777" w:rsidTr="005D2C6B">
      <w:trPr>
        <w:trHeight w:val="699"/>
      </w:trPr>
      <w:tc>
        <w:tcPr>
          <w:tcW w:w="15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465E5C" w14:textId="77777777" w:rsidR="005D2C6B" w:rsidRPr="005D2C6B" w:rsidRDefault="005D2C6B" w:rsidP="005D2C6B">
          <w:pPr>
            <w:spacing w:before="28"/>
            <w:ind w:right="-20"/>
            <w:jc w:val="center"/>
            <w:rPr>
              <w:rFonts w:cs="Calibri"/>
              <w:b/>
              <w:bCs/>
              <w:sz w:val="24"/>
              <w:szCs w:val="24"/>
            </w:rPr>
          </w:pPr>
          <w:bookmarkStart w:id="1" w:name="_Hlk63933931"/>
          <w:r w:rsidRPr="005D2C6B">
            <w:rPr>
              <w:rFonts w:cs="Calibri"/>
              <w:b/>
              <w:bCs/>
              <w:spacing w:val="1"/>
              <w:sz w:val="24"/>
              <w:szCs w:val="24"/>
            </w:rPr>
            <w:t xml:space="preserve">Use of this document must acknowledge MLCSU and Pan Mersey </w:t>
          </w:r>
          <w:r w:rsidRPr="005D2C6B">
            <w:rPr>
              <w:rFonts w:cs="Calibri"/>
              <w:b/>
              <w:bCs/>
              <w:sz w:val="24"/>
              <w:szCs w:val="24"/>
            </w:rPr>
            <w:t>APC (refer to full terms and conditions)</w:t>
          </w:r>
        </w:p>
        <w:p w14:paraId="589ECADF" w14:textId="77777777" w:rsidR="005D2C6B" w:rsidRPr="005D2C6B" w:rsidRDefault="005D2C6B" w:rsidP="005D2C6B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</w:tr>
    <w:bookmarkEnd w:id="1"/>
  </w:tbl>
  <w:p w14:paraId="5FFF5E10" w14:textId="77777777" w:rsidR="005D2C6B" w:rsidRPr="005D2C6B" w:rsidRDefault="005D2C6B" w:rsidP="005D2C6B">
    <w:pPr>
      <w:tabs>
        <w:tab w:val="right" w:pos="10433"/>
      </w:tabs>
      <w:rPr>
        <w:rFonts w:eastAsia="Arial" w:cs="Times New Roman"/>
      </w:rPr>
    </w:pPr>
  </w:p>
  <w:p w14:paraId="4AD2A8E8" w14:textId="7A8E9FC3" w:rsidR="00DD6011" w:rsidRDefault="00E95C6D" w:rsidP="002B3E13">
    <w:pPr>
      <w:pStyle w:val="Header"/>
      <w:tabs>
        <w:tab w:val="clear" w:pos="4513"/>
        <w:tab w:val="clear" w:pos="9026"/>
        <w:tab w:val="right" w:pos="97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140"/>
    <w:multiLevelType w:val="hybridMultilevel"/>
    <w:tmpl w:val="5F06DE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42"/>
    <w:multiLevelType w:val="hybridMultilevel"/>
    <w:tmpl w:val="B400D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9A6"/>
    <w:multiLevelType w:val="hybridMultilevel"/>
    <w:tmpl w:val="AFE68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9E0EC0"/>
    <w:multiLevelType w:val="hybridMultilevel"/>
    <w:tmpl w:val="00702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327"/>
    <w:multiLevelType w:val="hybridMultilevel"/>
    <w:tmpl w:val="96164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31F0"/>
    <w:multiLevelType w:val="hybridMultilevel"/>
    <w:tmpl w:val="19AE80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0BB6"/>
    <w:multiLevelType w:val="hybridMultilevel"/>
    <w:tmpl w:val="4948D5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4057"/>
    <w:multiLevelType w:val="hybridMultilevel"/>
    <w:tmpl w:val="263A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534A"/>
    <w:multiLevelType w:val="hybridMultilevel"/>
    <w:tmpl w:val="EB18A9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77C"/>
    <w:multiLevelType w:val="hybridMultilevel"/>
    <w:tmpl w:val="5C082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519B"/>
    <w:multiLevelType w:val="hybridMultilevel"/>
    <w:tmpl w:val="4948D5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24E3"/>
    <w:multiLevelType w:val="hybridMultilevel"/>
    <w:tmpl w:val="7E8E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4E43"/>
    <w:multiLevelType w:val="hybridMultilevel"/>
    <w:tmpl w:val="377616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C5888"/>
    <w:multiLevelType w:val="hybridMultilevel"/>
    <w:tmpl w:val="5B681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1A78"/>
    <w:multiLevelType w:val="hybridMultilevel"/>
    <w:tmpl w:val="AB82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5E6E"/>
    <w:multiLevelType w:val="hybridMultilevel"/>
    <w:tmpl w:val="E150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4D8"/>
    <w:multiLevelType w:val="hybridMultilevel"/>
    <w:tmpl w:val="49AA95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3392A"/>
    <w:multiLevelType w:val="hybridMultilevel"/>
    <w:tmpl w:val="9A369B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TMyNjAzMTE2NTBT0lEKTi0uzszPAykwqwUASM56HSwAAAA="/>
  </w:docVars>
  <w:rsids>
    <w:rsidRoot w:val="00DD51B4"/>
    <w:rsid w:val="0000518E"/>
    <w:rsid w:val="00006B8B"/>
    <w:rsid w:val="000356CE"/>
    <w:rsid w:val="00036575"/>
    <w:rsid w:val="00041A08"/>
    <w:rsid w:val="00045C37"/>
    <w:rsid w:val="00052CB5"/>
    <w:rsid w:val="000571B3"/>
    <w:rsid w:val="000610A4"/>
    <w:rsid w:val="00064931"/>
    <w:rsid w:val="00067116"/>
    <w:rsid w:val="00081FD2"/>
    <w:rsid w:val="00084950"/>
    <w:rsid w:val="00091E7C"/>
    <w:rsid w:val="000950A0"/>
    <w:rsid w:val="000A0A66"/>
    <w:rsid w:val="000C451F"/>
    <w:rsid w:val="000D684A"/>
    <w:rsid w:val="000F0ED1"/>
    <w:rsid w:val="000F7761"/>
    <w:rsid w:val="00104E44"/>
    <w:rsid w:val="0011279B"/>
    <w:rsid w:val="00113217"/>
    <w:rsid w:val="00114E84"/>
    <w:rsid w:val="001268BF"/>
    <w:rsid w:val="00132914"/>
    <w:rsid w:val="00142B8F"/>
    <w:rsid w:val="00146303"/>
    <w:rsid w:val="0015106A"/>
    <w:rsid w:val="0015251F"/>
    <w:rsid w:val="00154DF2"/>
    <w:rsid w:val="001575EB"/>
    <w:rsid w:val="00161DDD"/>
    <w:rsid w:val="00167870"/>
    <w:rsid w:val="00167E89"/>
    <w:rsid w:val="00176468"/>
    <w:rsid w:val="00193EF5"/>
    <w:rsid w:val="00195F85"/>
    <w:rsid w:val="001A3295"/>
    <w:rsid w:val="001A7B2F"/>
    <w:rsid w:val="001B27FE"/>
    <w:rsid w:val="001C4CA4"/>
    <w:rsid w:val="001C6A24"/>
    <w:rsid w:val="001D5ED5"/>
    <w:rsid w:val="001E0751"/>
    <w:rsid w:val="001F7D48"/>
    <w:rsid w:val="001F7F98"/>
    <w:rsid w:val="00216BBD"/>
    <w:rsid w:val="00245822"/>
    <w:rsid w:val="00252998"/>
    <w:rsid w:val="00257B3C"/>
    <w:rsid w:val="0027113B"/>
    <w:rsid w:val="002751C5"/>
    <w:rsid w:val="0027630F"/>
    <w:rsid w:val="00284DB6"/>
    <w:rsid w:val="0029227A"/>
    <w:rsid w:val="00295D2F"/>
    <w:rsid w:val="002A5133"/>
    <w:rsid w:val="002A7D74"/>
    <w:rsid w:val="002B3E13"/>
    <w:rsid w:val="002B4E62"/>
    <w:rsid w:val="002D2EED"/>
    <w:rsid w:val="002E1598"/>
    <w:rsid w:val="002F11FF"/>
    <w:rsid w:val="00300488"/>
    <w:rsid w:val="003006CF"/>
    <w:rsid w:val="00301345"/>
    <w:rsid w:val="003152C2"/>
    <w:rsid w:val="00323199"/>
    <w:rsid w:val="00334786"/>
    <w:rsid w:val="00340A90"/>
    <w:rsid w:val="0037166A"/>
    <w:rsid w:val="00373446"/>
    <w:rsid w:val="00380F4B"/>
    <w:rsid w:val="0038361B"/>
    <w:rsid w:val="0039281F"/>
    <w:rsid w:val="003A1553"/>
    <w:rsid w:val="003A446B"/>
    <w:rsid w:val="003A44A7"/>
    <w:rsid w:val="003A50AF"/>
    <w:rsid w:val="003A6AE3"/>
    <w:rsid w:val="003A7BB6"/>
    <w:rsid w:val="003B0751"/>
    <w:rsid w:val="003B284E"/>
    <w:rsid w:val="003B4941"/>
    <w:rsid w:val="003B7066"/>
    <w:rsid w:val="003C3940"/>
    <w:rsid w:val="003C40B2"/>
    <w:rsid w:val="003D355E"/>
    <w:rsid w:val="003D5236"/>
    <w:rsid w:val="003D7889"/>
    <w:rsid w:val="0040737E"/>
    <w:rsid w:val="0040742A"/>
    <w:rsid w:val="004179E4"/>
    <w:rsid w:val="00433692"/>
    <w:rsid w:val="00435395"/>
    <w:rsid w:val="00464B06"/>
    <w:rsid w:val="004755D9"/>
    <w:rsid w:val="00476257"/>
    <w:rsid w:val="00480781"/>
    <w:rsid w:val="00485092"/>
    <w:rsid w:val="00487E71"/>
    <w:rsid w:val="00493848"/>
    <w:rsid w:val="0049658F"/>
    <w:rsid w:val="004A7DDE"/>
    <w:rsid w:val="004B1202"/>
    <w:rsid w:val="004B7C2F"/>
    <w:rsid w:val="004C1092"/>
    <w:rsid w:val="004D0031"/>
    <w:rsid w:val="004D6908"/>
    <w:rsid w:val="004E0E4E"/>
    <w:rsid w:val="004E2794"/>
    <w:rsid w:val="004F4662"/>
    <w:rsid w:val="004F5A04"/>
    <w:rsid w:val="00500241"/>
    <w:rsid w:val="00503DE2"/>
    <w:rsid w:val="0050594E"/>
    <w:rsid w:val="00512E0F"/>
    <w:rsid w:val="00514442"/>
    <w:rsid w:val="0052106A"/>
    <w:rsid w:val="0053310E"/>
    <w:rsid w:val="00535243"/>
    <w:rsid w:val="00557534"/>
    <w:rsid w:val="0056559C"/>
    <w:rsid w:val="00577024"/>
    <w:rsid w:val="005931D4"/>
    <w:rsid w:val="00593DC0"/>
    <w:rsid w:val="0059523F"/>
    <w:rsid w:val="005A420C"/>
    <w:rsid w:val="005A589C"/>
    <w:rsid w:val="005B13A4"/>
    <w:rsid w:val="005C0DB3"/>
    <w:rsid w:val="005C2FE2"/>
    <w:rsid w:val="005D2C6B"/>
    <w:rsid w:val="005D3FEE"/>
    <w:rsid w:val="005E1CA7"/>
    <w:rsid w:val="00602385"/>
    <w:rsid w:val="00606069"/>
    <w:rsid w:val="0060690E"/>
    <w:rsid w:val="00615582"/>
    <w:rsid w:val="00630B49"/>
    <w:rsid w:val="00631B07"/>
    <w:rsid w:val="00634521"/>
    <w:rsid w:val="006428AB"/>
    <w:rsid w:val="00645BDD"/>
    <w:rsid w:val="006461BC"/>
    <w:rsid w:val="00650A2F"/>
    <w:rsid w:val="006617ED"/>
    <w:rsid w:val="006636EB"/>
    <w:rsid w:val="006657B0"/>
    <w:rsid w:val="00684A61"/>
    <w:rsid w:val="00691597"/>
    <w:rsid w:val="006C11DD"/>
    <w:rsid w:val="006D7886"/>
    <w:rsid w:val="006F01CD"/>
    <w:rsid w:val="007073AE"/>
    <w:rsid w:val="007106F2"/>
    <w:rsid w:val="00714729"/>
    <w:rsid w:val="00720F54"/>
    <w:rsid w:val="007226DF"/>
    <w:rsid w:val="00724DE4"/>
    <w:rsid w:val="00731570"/>
    <w:rsid w:val="0073624A"/>
    <w:rsid w:val="00745216"/>
    <w:rsid w:val="00750C1B"/>
    <w:rsid w:val="0075202F"/>
    <w:rsid w:val="00781781"/>
    <w:rsid w:val="00787552"/>
    <w:rsid w:val="007925B4"/>
    <w:rsid w:val="007A1F18"/>
    <w:rsid w:val="007A3AB5"/>
    <w:rsid w:val="007B638B"/>
    <w:rsid w:val="007D1204"/>
    <w:rsid w:val="007D4127"/>
    <w:rsid w:val="007D6BED"/>
    <w:rsid w:val="007E7237"/>
    <w:rsid w:val="00806E1C"/>
    <w:rsid w:val="008072A9"/>
    <w:rsid w:val="00816EC2"/>
    <w:rsid w:val="00817C8B"/>
    <w:rsid w:val="00820589"/>
    <w:rsid w:val="0082407C"/>
    <w:rsid w:val="00824547"/>
    <w:rsid w:val="00853EB1"/>
    <w:rsid w:val="00867745"/>
    <w:rsid w:val="008728B9"/>
    <w:rsid w:val="00873214"/>
    <w:rsid w:val="00875893"/>
    <w:rsid w:val="00886AC6"/>
    <w:rsid w:val="00890701"/>
    <w:rsid w:val="00890C8A"/>
    <w:rsid w:val="008A14E7"/>
    <w:rsid w:val="008A42B2"/>
    <w:rsid w:val="008A49F1"/>
    <w:rsid w:val="008A695D"/>
    <w:rsid w:val="008B2F43"/>
    <w:rsid w:val="008B41D7"/>
    <w:rsid w:val="008C7D30"/>
    <w:rsid w:val="008E1199"/>
    <w:rsid w:val="008E2F09"/>
    <w:rsid w:val="008E4B15"/>
    <w:rsid w:val="008E5D5C"/>
    <w:rsid w:val="008E7BC3"/>
    <w:rsid w:val="008F56AB"/>
    <w:rsid w:val="008F5F82"/>
    <w:rsid w:val="008F6180"/>
    <w:rsid w:val="00903925"/>
    <w:rsid w:val="0091579F"/>
    <w:rsid w:val="00915B4F"/>
    <w:rsid w:val="00924D5C"/>
    <w:rsid w:val="00925FEA"/>
    <w:rsid w:val="00932FF3"/>
    <w:rsid w:val="00963BE4"/>
    <w:rsid w:val="009729F6"/>
    <w:rsid w:val="00973A16"/>
    <w:rsid w:val="00976AD7"/>
    <w:rsid w:val="00976F7D"/>
    <w:rsid w:val="009859CE"/>
    <w:rsid w:val="009A1BC5"/>
    <w:rsid w:val="009A38A0"/>
    <w:rsid w:val="009B2B14"/>
    <w:rsid w:val="009B6978"/>
    <w:rsid w:val="009C000E"/>
    <w:rsid w:val="009C3820"/>
    <w:rsid w:val="009D535E"/>
    <w:rsid w:val="009D791E"/>
    <w:rsid w:val="009E4A45"/>
    <w:rsid w:val="009F09C6"/>
    <w:rsid w:val="009F3586"/>
    <w:rsid w:val="009F4B0F"/>
    <w:rsid w:val="009F4BBD"/>
    <w:rsid w:val="009F69BF"/>
    <w:rsid w:val="00A01BD3"/>
    <w:rsid w:val="00A02947"/>
    <w:rsid w:val="00A0752D"/>
    <w:rsid w:val="00A10A85"/>
    <w:rsid w:val="00A172F4"/>
    <w:rsid w:val="00A25EB9"/>
    <w:rsid w:val="00A32E83"/>
    <w:rsid w:val="00A35956"/>
    <w:rsid w:val="00A45486"/>
    <w:rsid w:val="00A473C6"/>
    <w:rsid w:val="00A670B0"/>
    <w:rsid w:val="00A701D6"/>
    <w:rsid w:val="00A708D4"/>
    <w:rsid w:val="00A754BD"/>
    <w:rsid w:val="00A75A63"/>
    <w:rsid w:val="00A76764"/>
    <w:rsid w:val="00A76F95"/>
    <w:rsid w:val="00A84DF7"/>
    <w:rsid w:val="00A87FEF"/>
    <w:rsid w:val="00AB18AB"/>
    <w:rsid w:val="00AB605A"/>
    <w:rsid w:val="00AC3D74"/>
    <w:rsid w:val="00AD4EED"/>
    <w:rsid w:val="00AE7A48"/>
    <w:rsid w:val="00B1076E"/>
    <w:rsid w:val="00B16E14"/>
    <w:rsid w:val="00B20502"/>
    <w:rsid w:val="00B237D0"/>
    <w:rsid w:val="00B248DC"/>
    <w:rsid w:val="00B32352"/>
    <w:rsid w:val="00B32660"/>
    <w:rsid w:val="00B34CBB"/>
    <w:rsid w:val="00B36443"/>
    <w:rsid w:val="00B366C0"/>
    <w:rsid w:val="00B43303"/>
    <w:rsid w:val="00B4371F"/>
    <w:rsid w:val="00B51F77"/>
    <w:rsid w:val="00B53313"/>
    <w:rsid w:val="00B65374"/>
    <w:rsid w:val="00B70CBD"/>
    <w:rsid w:val="00B72239"/>
    <w:rsid w:val="00B76814"/>
    <w:rsid w:val="00B90AB5"/>
    <w:rsid w:val="00BA7D25"/>
    <w:rsid w:val="00BB017B"/>
    <w:rsid w:val="00BB0D9C"/>
    <w:rsid w:val="00BB4D11"/>
    <w:rsid w:val="00BC4536"/>
    <w:rsid w:val="00BD34FE"/>
    <w:rsid w:val="00BD506E"/>
    <w:rsid w:val="00BD50B3"/>
    <w:rsid w:val="00C0331D"/>
    <w:rsid w:val="00C13778"/>
    <w:rsid w:val="00C167A2"/>
    <w:rsid w:val="00C20099"/>
    <w:rsid w:val="00C24551"/>
    <w:rsid w:val="00C27306"/>
    <w:rsid w:val="00C436BC"/>
    <w:rsid w:val="00C46C45"/>
    <w:rsid w:val="00C60B65"/>
    <w:rsid w:val="00C632EB"/>
    <w:rsid w:val="00C6606D"/>
    <w:rsid w:val="00C83DA6"/>
    <w:rsid w:val="00C870DF"/>
    <w:rsid w:val="00C90792"/>
    <w:rsid w:val="00C9134A"/>
    <w:rsid w:val="00CA468E"/>
    <w:rsid w:val="00CB03D7"/>
    <w:rsid w:val="00CC49AD"/>
    <w:rsid w:val="00CC6482"/>
    <w:rsid w:val="00CD28AF"/>
    <w:rsid w:val="00CD4408"/>
    <w:rsid w:val="00CD49D0"/>
    <w:rsid w:val="00CE16A4"/>
    <w:rsid w:val="00CF1EB5"/>
    <w:rsid w:val="00CF3C8D"/>
    <w:rsid w:val="00D0370E"/>
    <w:rsid w:val="00D06467"/>
    <w:rsid w:val="00D0677B"/>
    <w:rsid w:val="00D11444"/>
    <w:rsid w:val="00D22176"/>
    <w:rsid w:val="00D223C6"/>
    <w:rsid w:val="00D26248"/>
    <w:rsid w:val="00D34F9B"/>
    <w:rsid w:val="00D362FA"/>
    <w:rsid w:val="00D442C6"/>
    <w:rsid w:val="00D465BB"/>
    <w:rsid w:val="00D5383B"/>
    <w:rsid w:val="00D53FC2"/>
    <w:rsid w:val="00D55C70"/>
    <w:rsid w:val="00D6731C"/>
    <w:rsid w:val="00D67BD0"/>
    <w:rsid w:val="00D729EB"/>
    <w:rsid w:val="00D76323"/>
    <w:rsid w:val="00D81830"/>
    <w:rsid w:val="00D92174"/>
    <w:rsid w:val="00D94740"/>
    <w:rsid w:val="00D976BE"/>
    <w:rsid w:val="00DB17C3"/>
    <w:rsid w:val="00DB3DD3"/>
    <w:rsid w:val="00DB4AF4"/>
    <w:rsid w:val="00DB7B79"/>
    <w:rsid w:val="00DC28B0"/>
    <w:rsid w:val="00DC4797"/>
    <w:rsid w:val="00DC4BFC"/>
    <w:rsid w:val="00DC5AC5"/>
    <w:rsid w:val="00DD51B4"/>
    <w:rsid w:val="00DD6011"/>
    <w:rsid w:val="00DD6281"/>
    <w:rsid w:val="00DE1E4D"/>
    <w:rsid w:val="00DF2B15"/>
    <w:rsid w:val="00DF3F11"/>
    <w:rsid w:val="00DF63F6"/>
    <w:rsid w:val="00E0049F"/>
    <w:rsid w:val="00E07E82"/>
    <w:rsid w:val="00E13DAB"/>
    <w:rsid w:val="00E240AF"/>
    <w:rsid w:val="00E406E0"/>
    <w:rsid w:val="00E5568C"/>
    <w:rsid w:val="00E67928"/>
    <w:rsid w:val="00E82104"/>
    <w:rsid w:val="00E918A9"/>
    <w:rsid w:val="00E92B53"/>
    <w:rsid w:val="00E95C6D"/>
    <w:rsid w:val="00EA0103"/>
    <w:rsid w:val="00EA79E9"/>
    <w:rsid w:val="00EB09E2"/>
    <w:rsid w:val="00EB72B5"/>
    <w:rsid w:val="00EB76D2"/>
    <w:rsid w:val="00EC3C87"/>
    <w:rsid w:val="00EC6EC9"/>
    <w:rsid w:val="00EE2133"/>
    <w:rsid w:val="00EF6AB5"/>
    <w:rsid w:val="00F03288"/>
    <w:rsid w:val="00F23A03"/>
    <w:rsid w:val="00F36A45"/>
    <w:rsid w:val="00F42632"/>
    <w:rsid w:val="00F42ACF"/>
    <w:rsid w:val="00F54EA2"/>
    <w:rsid w:val="00F63F95"/>
    <w:rsid w:val="00F7518D"/>
    <w:rsid w:val="00F7562F"/>
    <w:rsid w:val="00F84EE4"/>
    <w:rsid w:val="00F8584F"/>
    <w:rsid w:val="00FA5B1D"/>
    <w:rsid w:val="00FA62B8"/>
    <w:rsid w:val="00FB41A4"/>
    <w:rsid w:val="00FB7B64"/>
    <w:rsid w:val="00FC43EF"/>
    <w:rsid w:val="00FD4CC5"/>
    <w:rsid w:val="00FE0D05"/>
    <w:rsid w:val="00FE7D4B"/>
    <w:rsid w:val="00FF076A"/>
    <w:rsid w:val="00FF5420"/>
    <w:rsid w:val="4F47B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419EE"/>
  <w15:chartTrackingRefBased/>
  <w15:docId w15:val="{289F3D4F-F760-42E0-B0B4-89DAB32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DE"/>
    <w:pPr>
      <w:spacing w:before="120" w:after="12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58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83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42A"/>
    <w:pPr>
      <w:keepNext/>
      <w:keepLines/>
      <w:spacing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8F"/>
  </w:style>
  <w:style w:type="paragraph" w:styleId="Footer">
    <w:name w:val="footer"/>
    <w:basedOn w:val="Normal"/>
    <w:link w:val="FooterChar"/>
    <w:uiPriority w:val="99"/>
    <w:unhideWhenUsed/>
    <w:rsid w:val="002B4E62"/>
    <w:pPr>
      <w:tabs>
        <w:tab w:val="right" w:pos="9747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4E62"/>
    <w:rPr>
      <w:rFonts w:ascii="Arial" w:hAnsi="Arial"/>
      <w:sz w:val="20"/>
    </w:rPr>
  </w:style>
  <w:style w:type="character" w:customStyle="1" w:styleId="caps">
    <w:name w:val="caps"/>
    <w:basedOn w:val="DefaultParagraphFont"/>
    <w:rsid w:val="00F7562F"/>
  </w:style>
  <w:style w:type="paragraph" w:styleId="ListParagraph">
    <w:name w:val="List Paragraph"/>
    <w:basedOn w:val="Normal"/>
    <w:uiPriority w:val="34"/>
    <w:qFormat/>
    <w:rsid w:val="007106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582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284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28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28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1830"/>
    <w:rPr>
      <w:rFonts w:ascii="Arial" w:eastAsiaTheme="majorEastAsia" w:hAnsi="Arial" w:cstheme="majorBidi"/>
      <w:b/>
      <w:sz w:val="26"/>
      <w:szCs w:val="26"/>
    </w:rPr>
  </w:style>
  <w:style w:type="paragraph" w:customStyle="1" w:styleId="Default">
    <w:name w:val="Default"/>
    <w:rsid w:val="00A32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B17C3"/>
    <w:pPr>
      <w:spacing w:after="100"/>
      <w:ind w:left="220"/>
    </w:pPr>
  </w:style>
  <w:style w:type="table" w:styleId="TableGrid">
    <w:name w:val="Table Grid"/>
    <w:basedOn w:val="TableNormal"/>
    <w:uiPriority w:val="39"/>
    <w:rsid w:val="002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2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0DB3"/>
    <w:rPr>
      <w:b/>
      <w:bCs/>
    </w:rPr>
  </w:style>
  <w:style w:type="table" w:customStyle="1" w:styleId="TableGrid4">
    <w:name w:val="Table Grid4"/>
    <w:basedOn w:val="TableNormal"/>
    <w:next w:val="TableGrid"/>
    <w:rsid w:val="005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71B3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05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0C8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742A"/>
    <w:rPr>
      <w:rFonts w:ascii="Arial" w:eastAsiaTheme="majorEastAsia" w:hAnsi="Arial" w:cstheme="majorBidi"/>
      <w:b/>
      <w:color w:val="1F3763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0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D2C6B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2" ma:contentTypeDescription="Create a new document." ma:contentTypeScope="" ma:versionID="2fe3eca2a4c6ea951205192ca117e90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f8cd8757a7080bfad1812e5a27f9f5ba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ZTN2ZK5Q2N6R-269579676-249475</_dlc_DocId>
    <_dlc_DocIdUrl xmlns="9ecf9374-0d71-4a51-a9c5-198dd68970ed">
      <Url>https://csucloudservices.sharepoint.com/teams/quality/medicine/_layouts/15/DocIdRedir.aspx?ID=ZTN2ZK5Q2N6R-269579676-249475</Url>
      <Description>ZTN2ZK5Q2N6R-269579676-249475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Nat18</b:Tag>
    <b:SourceType>Report</b:SourceType>
    <b:Guid>{E3F8A8E0-3640-4FF8-9121-2F3E45B3EEA5}</b:Guid>
    <b:Title>Stop smoking interventions and services (NG92)</b:Title>
    <b:Year>2018</b:Year>
    <b:Author>
      <b:Author>
        <b:Corporate>National Institue for Health and Care Excellence</b:Corporate>
      </b:Author>
    </b:Author>
    <b:Publisher>National Institue for Health and Care Excellence</b:Publisher>
    <b:City>Manchester</b:City>
    <b:RefOrder>1</b:RefOrder>
  </b:Source>
</b:Sources>
</file>

<file path=customXml/itemProps1.xml><?xml version="1.0" encoding="utf-8"?>
<ds:datastoreItem xmlns:ds="http://schemas.openxmlformats.org/officeDocument/2006/customXml" ds:itemID="{032B6B54-C922-4633-9D3F-D35A08596D50}"/>
</file>

<file path=customXml/itemProps2.xml><?xml version="1.0" encoding="utf-8"?>
<ds:datastoreItem xmlns:ds="http://schemas.openxmlformats.org/officeDocument/2006/customXml" ds:itemID="{B8B0E564-0486-404F-A374-7FE1915E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062C0-6741-41E0-9EE4-30CEA9A86A25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4.xml><?xml version="1.0" encoding="utf-8"?>
<ds:datastoreItem xmlns:ds="http://schemas.openxmlformats.org/officeDocument/2006/customXml" ds:itemID="{7475A6CE-7503-4620-B8DC-AE5475B587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CADB7C-A8BB-451D-9B05-F86A5CB0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Out-of-area Prescribing Requests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Out-of-area Prescribing Requests</dc:title>
  <dc:subject/>
  <dc:creator>Ravi Kalkat (MLCSU)</dc:creator>
  <cp:keywords/>
  <dc:description/>
  <cp:lastModifiedBy>Ravi Kalkat (MLCSU)</cp:lastModifiedBy>
  <cp:revision>2</cp:revision>
  <cp:lastPrinted>2020-09-25T10:20:00Z</cp:lastPrinted>
  <dcterms:created xsi:type="dcterms:W3CDTF">2021-03-16T16:09:00Z</dcterms:created>
  <dcterms:modified xsi:type="dcterms:W3CDTF">2021-03-16T16:09:00Z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_dlc_DocIdItemGuid">
    <vt:lpwstr>0008ce58-6063-4e4d-8ffd-e90ce60b3653</vt:lpwstr>
  </property>
  <property fmtid="{D5CDD505-2E9C-101B-9397-08002B2CF9AE}" pid="4" name="AuthorIds_UIVersion_13824">
    <vt:lpwstr>405</vt:lpwstr>
  </property>
</Properties>
</file>