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83A6" w14:textId="7A644CD0" w:rsidR="00D97F6A" w:rsidRDefault="00D97F6A" w:rsidP="00182BFC">
      <w:pPr>
        <w:jc w:val="right"/>
        <w:rPr>
          <w:rFonts w:ascii="Arial" w:hAnsi="Arial" w:cs="Arial"/>
          <w:b/>
          <w:bCs/>
          <w:sz w:val="24"/>
          <w:szCs w:val="24"/>
        </w:rPr>
      </w:pPr>
    </w:p>
    <w:p w14:paraId="60B083A7" w14:textId="77777777" w:rsidR="0027574A" w:rsidRDefault="0027574A" w:rsidP="00182BFC">
      <w:pPr>
        <w:jc w:val="right"/>
        <w:rPr>
          <w:rFonts w:ascii="Arial" w:hAnsi="Arial" w:cs="Arial"/>
          <w:b/>
          <w:bCs/>
          <w:sz w:val="24"/>
          <w:szCs w:val="24"/>
        </w:rPr>
      </w:pPr>
    </w:p>
    <w:p w14:paraId="60B083A8" w14:textId="6F213DAB" w:rsidR="0027574A" w:rsidRPr="0027574A" w:rsidRDefault="006F3C3D" w:rsidP="0027574A">
      <w:pPr>
        <w:jc w:val="center"/>
        <w:rPr>
          <w:rFonts w:ascii="Arial" w:hAnsi="Arial" w:cs="Arial"/>
          <w:b/>
          <w:bCs/>
          <w:sz w:val="24"/>
          <w:szCs w:val="24"/>
          <w:lang w:val="en-GB"/>
        </w:rPr>
      </w:pPr>
      <w:r>
        <w:rPr>
          <w:rFonts w:ascii="Arial" w:hAnsi="Arial" w:cs="Arial"/>
          <w:b/>
          <w:bCs/>
          <w:color w:val="FF0000"/>
          <w:sz w:val="24"/>
          <w:szCs w:val="24"/>
          <w:lang w:val="en-GB"/>
        </w:rPr>
        <w:t>[Name of group</w:t>
      </w:r>
      <w:r w:rsidR="00824B07">
        <w:rPr>
          <w:rFonts w:ascii="Arial" w:hAnsi="Arial" w:cs="Arial"/>
          <w:b/>
          <w:bCs/>
          <w:color w:val="FF0000"/>
          <w:sz w:val="24"/>
          <w:szCs w:val="24"/>
          <w:lang w:val="en-GB"/>
        </w:rPr>
        <w:t>/APC</w:t>
      </w:r>
      <w:r>
        <w:rPr>
          <w:rFonts w:ascii="Arial" w:hAnsi="Arial" w:cs="Arial"/>
          <w:b/>
          <w:bCs/>
          <w:color w:val="FF0000"/>
          <w:sz w:val="24"/>
          <w:szCs w:val="24"/>
          <w:lang w:val="en-GB"/>
        </w:rPr>
        <w:t>]</w:t>
      </w:r>
      <w:r w:rsidR="0027574A" w:rsidRPr="0027574A">
        <w:rPr>
          <w:rFonts w:ascii="Arial" w:hAnsi="Arial" w:cs="Arial"/>
          <w:b/>
          <w:bCs/>
          <w:sz w:val="24"/>
          <w:szCs w:val="24"/>
          <w:lang w:val="en-GB"/>
        </w:rPr>
        <w:t xml:space="preserve"> (</w:t>
      </w:r>
      <w:r>
        <w:rPr>
          <w:rFonts w:ascii="Arial" w:hAnsi="Arial" w:cs="Arial"/>
          <w:b/>
          <w:bCs/>
          <w:color w:val="FF0000"/>
          <w:sz w:val="24"/>
          <w:szCs w:val="24"/>
          <w:lang w:val="en-GB"/>
        </w:rPr>
        <w:t>Group acronym</w:t>
      </w:r>
      <w:r w:rsidR="0027574A" w:rsidRPr="0027574A">
        <w:rPr>
          <w:rFonts w:ascii="Arial" w:hAnsi="Arial" w:cs="Arial"/>
          <w:b/>
          <w:bCs/>
          <w:sz w:val="24"/>
          <w:szCs w:val="24"/>
          <w:lang w:val="en-GB"/>
        </w:rPr>
        <w:t>)</w:t>
      </w:r>
    </w:p>
    <w:p w14:paraId="60B083A9" w14:textId="77777777" w:rsidR="0027574A" w:rsidRPr="0027574A" w:rsidRDefault="0027574A" w:rsidP="0027574A">
      <w:pPr>
        <w:jc w:val="center"/>
        <w:rPr>
          <w:rFonts w:ascii="Arial" w:hAnsi="Arial" w:cs="Arial"/>
          <w:b/>
          <w:bCs/>
          <w:lang w:val="en-GB"/>
        </w:rPr>
      </w:pPr>
    </w:p>
    <w:p w14:paraId="60B083AA" w14:textId="77777777" w:rsidR="0027574A" w:rsidRPr="0027574A" w:rsidRDefault="0027574A" w:rsidP="0027574A">
      <w:pPr>
        <w:jc w:val="center"/>
        <w:rPr>
          <w:rFonts w:ascii="Arial" w:hAnsi="Arial" w:cs="Arial"/>
          <w:b/>
          <w:bCs/>
          <w:lang w:val="en-GB"/>
        </w:rPr>
      </w:pPr>
      <w:r w:rsidRPr="0027574A">
        <w:rPr>
          <w:rFonts w:ascii="Arial" w:hAnsi="Arial" w:cs="Arial"/>
          <w:b/>
          <w:bCs/>
          <w:lang w:val="en-GB"/>
        </w:rPr>
        <w:t>TERMS OF REFERENCE</w:t>
      </w:r>
    </w:p>
    <w:p w14:paraId="60B083AB" w14:textId="77777777" w:rsidR="0027574A" w:rsidRPr="00FB671D" w:rsidRDefault="0027574A" w:rsidP="0027574A">
      <w:pPr>
        <w:rPr>
          <w:rFonts w:ascii="Arial" w:hAnsi="Arial" w:cs="Arial"/>
          <w:lang w:val="en-GB"/>
        </w:rPr>
      </w:pPr>
      <w:r w:rsidRPr="00FB671D">
        <w:rPr>
          <w:rFonts w:ascii="Arial" w:hAnsi="Arial" w:cs="Arial"/>
          <w:b/>
          <w:bCs/>
          <w:lang w:val="en-GB"/>
        </w:rPr>
        <w:t>AIM</w:t>
      </w:r>
      <w:r w:rsidRPr="00FB671D">
        <w:rPr>
          <w:rFonts w:ascii="Arial" w:hAnsi="Arial" w:cs="Arial"/>
          <w:lang w:val="en-GB"/>
        </w:rPr>
        <w:t xml:space="preserve"> </w:t>
      </w:r>
    </w:p>
    <w:p w14:paraId="60B083AC" w14:textId="6947B28B" w:rsidR="0027574A" w:rsidRPr="00FB671D" w:rsidRDefault="0027574A" w:rsidP="0027574A">
      <w:pPr>
        <w:jc w:val="both"/>
        <w:rPr>
          <w:rFonts w:ascii="Arial" w:hAnsi="Arial" w:cs="Arial"/>
          <w:lang w:val="en-GB"/>
        </w:rPr>
      </w:pPr>
      <w:r w:rsidRPr="00FB671D">
        <w:rPr>
          <w:rFonts w:ascii="Arial" w:hAnsi="Arial" w:cs="Arial"/>
          <w:lang w:val="en-GB"/>
        </w:rPr>
        <w:t xml:space="preserve">The group will provide a platform for making consensus recommendations relating to the use of medicines and medical devices which are available on NHS prescription across the </w:t>
      </w:r>
      <w:r w:rsidR="00824B07">
        <w:rPr>
          <w:rFonts w:ascii="Arial" w:hAnsi="Arial" w:cs="Arial"/>
          <w:b/>
          <w:bCs/>
          <w:color w:val="FF0000"/>
          <w:lang w:val="en-GB"/>
        </w:rPr>
        <w:t>[Region]</w:t>
      </w:r>
      <w:r w:rsidR="00824B07" w:rsidRPr="00FB671D">
        <w:rPr>
          <w:rFonts w:ascii="Arial" w:hAnsi="Arial" w:cs="Arial"/>
          <w:lang w:val="en-GB"/>
        </w:rPr>
        <w:t xml:space="preserve"> </w:t>
      </w:r>
      <w:r w:rsidRPr="00FB671D">
        <w:rPr>
          <w:rFonts w:ascii="Arial" w:hAnsi="Arial" w:cs="Arial"/>
          <w:lang w:val="en-GB"/>
        </w:rPr>
        <w:t xml:space="preserve">NHS footprint, to ensure equity in access and optimisation of use, the integration of medicines and prescribed medical devices into care pathways and the promotion of inter- and intra-professional collaborative working across organisations. The group will make recommendations to commissioning groups and provider organisations for adoption </w:t>
      </w:r>
      <w:proofErr w:type="gramStart"/>
      <w:r w:rsidRPr="00FB671D">
        <w:rPr>
          <w:rFonts w:ascii="Arial" w:hAnsi="Arial" w:cs="Arial"/>
          <w:lang w:val="en-GB"/>
        </w:rPr>
        <w:t>in order to</w:t>
      </w:r>
      <w:proofErr w:type="gramEnd"/>
      <w:r w:rsidRPr="00FB671D">
        <w:rPr>
          <w:rFonts w:ascii="Arial" w:hAnsi="Arial" w:cs="Arial"/>
          <w:lang w:val="en-GB"/>
        </w:rPr>
        <w:t xml:space="preserve"> ensure the best use of medicines and prescribed medical devices and associated resources across the health and social care system in </w:t>
      </w:r>
      <w:r w:rsidR="00824B07">
        <w:rPr>
          <w:rFonts w:ascii="Arial" w:hAnsi="Arial" w:cs="Arial"/>
          <w:b/>
          <w:bCs/>
          <w:color w:val="FF0000"/>
          <w:lang w:val="en-GB"/>
        </w:rPr>
        <w:t>[Region]</w:t>
      </w:r>
      <w:r w:rsidRPr="00FB671D">
        <w:rPr>
          <w:rFonts w:ascii="Arial" w:hAnsi="Arial" w:cs="Arial"/>
          <w:lang w:val="en-GB"/>
        </w:rPr>
        <w:t>.</w:t>
      </w:r>
    </w:p>
    <w:p w14:paraId="60B083AD" w14:textId="77777777" w:rsidR="0027574A" w:rsidRPr="00FB671D" w:rsidRDefault="0027574A" w:rsidP="0027574A">
      <w:pPr>
        <w:rPr>
          <w:rFonts w:ascii="Arial" w:hAnsi="Arial" w:cs="Arial"/>
          <w:b/>
          <w:lang w:val="en-GB"/>
        </w:rPr>
      </w:pPr>
    </w:p>
    <w:p w14:paraId="60B083AE" w14:textId="77777777" w:rsidR="0027574A" w:rsidRPr="00FB671D" w:rsidRDefault="0027574A" w:rsidP="0027574A">
      <w:pPr>
        <w:rPr>
          <w:rFonts w:ascii="Arial" w:hAnsi="Arial" w:cs="Arial"/>
          <w:b/>
          <w:lang w:val="en-GB"/>
        </w:rPr>
      </w:pPr>
      <w:r w:rsidRPr="00FB671D">
        <w:rPr>
          <w:rFonts w:ascii="Arial" w:hAnsi="Arial" w:cs="Arial"/>
          <w:b/>
          <w:lang w:val="en-GB"/>
        </w:rPr>
        <w:t>OVER-ARCHING FUNCTION</w:t>
      </w:r>
    </w:p>
    <w:p w14:paraId="60B083AF" w14:textId="33005158" w:rsidR="0027574A" w:rsidRPr="00FB671D" w:rsidRDefault="0027574A" w:rsidP="0027574A">
      <w:pPr>
        <w:rPr>
          <w:rFonts w:ascii="Arial" w:hAnsi="Arial" w:cs="Arial"/>
          <w:lang w:val="en-GB"/>
        </w:rPr>
      </w:pPr>
      <w:r w:rsidRPr="00FB671D">
        <w:rPr>
          <w:rFonts w:ascii="Arial" w:hAnsi="Arial" w:cs="Arial"/>
          <w:lang w:val="en-GB"/>
        </w:rPr>
        <w:t xml:space="preserve">Ensure that processes underpinning </w:t>
      </w:r>
      <w:r w:rsidR="00824B07">
        <w:rPr>
          <w:rFonts w:ascii="Arial" w:hAnsi="Arial" w:cs="Arial"/>
          <w:b/>
          <w:bCs/>
          <w:color w:val="FF0000"/>
          <w:lang w:val="en-GB"/>
        </w:rPr>
        <w:t>[Region]</w:t>
      </w:r>
      <w:r w:rsidR="00824B07" w:rsidRPr="00FB671D">
        <w:rPr>
          <w:rFonts w:ascii="Arial" w:hAnsi="Arial" w:cs="Arial"/>
          <w:lang w:val="en-GB"/>
        </w:rPr>
        <w:t xml:space="preserve"> </w:t>
      </w:r>
      <w:r w:rsidRPr="00FB671D">
        <w:rPr>
          <w:rFonts w:ascii="Arial" w:hAnsi="Arial" w:cs="Arial"/>
          <w:lang w:val="en-GB"/>
        </w:rPr>
        <w:t>-wide recommendations and subsequent local decision-making about medicines and medical devices which are available on NHS prescription are consistent with the NHS Constitution and in accordance with common law.</w:t>
      </w:r>
    </w:p>
    <w:p w14:paraId="60B083B0" w14:textId="77777777" w:rsidR="0027574A" w:rsidRPr="00FB671D" w:rsidRDefault="0027574A" w:rsidP="0027574A">
      <w:pPr>
        <w:rPr>
          <w:rFonts w:ascii="Arial" w:hAnsi="Arial" w:cs="Arial"/>
          <w:b/>
          <w:lang w:val="en-GB"/>
        </w:rPr>
      </w:pPr>
    </w:p>
    <w:p w14:paraId="60B083B1" w14:textId="77777777" w:rsidR="0027574A" w:rsidRPr="00FB671D" w:rsidRDefault="0027574A" w:rsidP="0027574A">
      <w:pPr>
        <w:rPr>
          <w:rFonts w:ascii="Arial" w:hAnsi="Arial" w:cs="Arial"/>
          <w:b/>
          <w:lang w:val="en-GB"/>
        </w:rPr>
      </w:pPr>
      <w:r w:rsidRPr="00FB671D">
        <w:rPr>
          <w:rFonts w:ascii="Arial" w:hAnsi="Arial" w:cs="Arial"/>
          <w:b/>
          <w:lang w:val="en-GB"/>
        </w:rPr>
        <w:t>CORE BUSINESS</w:t>
      </w:r>
    </w:p>
    <w:p w14:paraId="60B083B2" w14:textId="74E7F038" w:rsidR="0027574A" w:rsidRPr="00FB671D" w:rsidRDefault="0027574A" w:rsidP="0027574A">
      <w:pPr>
        <w:numPr>
          <w:ilvl w:val="0"/>
          <w:numId w:val="2"/>
        </w:numPr>
        <w:spacing w:after="200" w:line="276" w:lineRule="auto"/>
        <w:contextualSpacing/>
        <w:rPr>
          <w:rFonts w:ascii="Arial" w:hAnsi="Arial" w:cs="Arial"/>
          <w:lang w:val="en-GB"/>
        </w:rPr>
      </w:pPr>
      <w:r w:rsidRPr="00FB671D">
        <w:rPr>
          <w:rFonts w:ascii="Arial" w:hAnsi="Arial" w:cs="Arial"/>
          <w:lang w:val="en-GB"/>
        </w:rPr>
        <w:t>Horizon scan and plan for the introduction of new medicines</w:t>
      </w:r>
      <w:r w:rsidRPr="00FB671D">
        <w:rPr>
          <w:lang w:val="en-GB"/>
        </w:rPr>
        <w:t xml:space="preserve"> </w:t>
      </w:r>
      <w:r w:rsidRPr="00FB671D">
        <w:rPr>
          <w:rFonts w:ascii="Arial" w:hAnsi="Arial" w:cs="Arial"/>
          <w:lang w:val="en-GB"/>
        </w:rPr>
        <w:t>and medical devices which are available on NHS prescription, National Institute for Health and Clinical Excellence (NICE) guidelines, revised use of existing medications</w:t>
      </w:r>
      <w:r w:rsidRPr="00FB671D">
        <w:rPr>
          <w:lang w:val="en-GB"/>
        </w:rPr>
        <w:t xml:space="preserve"> </w:t>
      </w:r>
      <w:r w:rsidRPr="00FB671D">
        <w:rPr>
          <w:rFonts w:ascii="Arial" w:hAnsi="Arial" w:cs="Arial"/>
          <w:lang w:val="en-GB"/>
        </w:rPr>
        <w:t xml:space="preserve">and medical devices which are available on NHS prescription, and unlicensed and or off label use of medication, where these impact on the business of commissioning organisations across the </w:t>
      </w:r>
      <w:r w:rsidR="00824B07">
        <w:rPr>
          <w:rFonts w:ascii="Arial" w:hAnsi="Arial" w:cs="Arial"/>
          <w:b/>
          <w:bCs/>
          <w:color w:val="FF0000"/>
          <w:lang w:val="en-GB"/>
        </w:rPr>
        <w:t>[</w:t>
      </w:r>
      <w:proofErr w:type="gramStart"/>
      <w:r w:rsidR="00824B07">
        <w:rPr>
          <w:rFonts w:ascii="Arial" w:hAnsi="Arial" w:cs="Arial"/>
          <w:b/>
          <w:bCs/>
          <w:color w:val="FF0000"/>
          <w:lang w:val="en-GB"/>
        </w:rPr>
        <w:t>Region]</w:t>
      </w:r>
      <w:r w:rsidR="00824B07" w:rsidRPr="00FB671D">
        <w:rPr>
          <w:rFonts w:ascii="Arial" w:hAnsi="Arial" w:cs="Arial"/>
          <w:lang w:val="en-GB"/>
        </w:rPr>
        <w:t xml:space="preserve"> </w:t>
      </w:r>
      <w:r w:rsidRPr="00FB671D">
        <w:rPr>
          <w:rFonts w:ascii="Arial" w:hAnsi="Arial" w:cs="Arial"/>
          <w:lang w:val="en-GB"/>
        </w:rPr>
        <w:t xml:space="preserve"> health</w:t>
      </w:r>
      <w:proofErr w:type="gramEnd"/>
      <w:r w:rsidRPr="00FB671D">
        <w:rPr>
          <w:rFonts w:ascii="Arial" w:hAnsi="Arial" w:cs="Arial"/>
          <w:lang w:val="en-GB"/>
        </w:rPr>
        <w:t xml:space="preserve"> economy (Clinical Commissioning Groups [CCGs] and Local Authorities), that is, where they involve primary care prescribing or relate to medicines excluded from PbR tariff. </w:t>
      </w:r>
    </w:p>
    <w:p w14:paraId="60B083B3" w14:textId="77777777" w:rsidR="0027574A" w:rsidRPr="00FB671D" w:rsidRDefault="0027574A" w:rsidP="0027574A">
      <w:pPr>
        <w:numPr>
          <w:ilvl w:val="0"/>
          <w:numId w:val="2"/>
        </w:numPr>
        <w:spacing w:before="100" w:beforeAutospacing="1" w:after="200" w:afterAutospacing="1" w:line="276" w:lineRule="auto"/>
        <w:contextualSpacing/>
        <w:rPr>
          <w:rFonts w:ascii="Arial" w:hAnsi="Arial" w:cs="Arial"/>
          <w:lang w:val="en-GB" w:eastAsia="en-GB"/>
        </w:rPr>
      </w:pPr>
      <w:r w:rsidRPr="00FB671D">
        <w:rPr>
          <w:rFonts w:ascii="Arial" w:eastAsia="Times New Roman" w:hAnsi="Arial" w:cs="Arial"/>
          <w:lang w:val="en-GB" w:eastAsia="en-GB"/>
        </w:rPr>
        <w:t>Receive and consider applications for approval to use a new medicine</w:t>
      </w:r>
      <w:r w:rsidRPr="00FB671D">
        <w:rPr>
          <w:rFonts w:ascii="Times New Roman" w:eastAsia="Times New Roman" w:hAnsi="Times New Roman"/>
          <w:sz w:val="24"/>
          <w:szCs w:val="24"/>
          <w:lang w:val="en-GB" w:eastAsia="en-GB"/>
        </w:rPr>
        <w:t xml:space="preserve"> </w:t>
      </w:r>
      <w:r w:rsidRPr="00FB671D">
        <w:rPr>
          <w:rFonts w:ascii="Arial" w:eastAsia="Times New Roman" w:hAnsi="Arial" w:cs="Arial"/>
          <w:lang w:val="en-GB" w:eastAsia="en-GB"/>
        </w:rPr>
        <w:t>and medical devices which are available on NHS prescription, or a new indication for an established preparation, in accordance with the criteria above. Note: applications that do not meet the above criteria, or which require an urgent, clinical decision are to be dealt with through internal provider processes.</w:t>
      </w:r>
    </w:p>
    <w:p w14:paraId="60B083B4" w14:textId="77777777" w:rsidR="0027574A" w:rsidRPr="00FB671D" w:rsidRDefault="0027574A" w:rsidP="0027574A">
      <w:pPr>
        <w:numPr>
          <w:ilvl w:val="0"/>
          <w:numId w:val="2"/>
        </w:numPr>
        <w:spacing w:after="200" w:line="276" w:lineRule="auto"/>
        <w:contextualSpacing/>
        <w:rPr>
          <w:rFonts w:ascii="Arial" w:hAnsi="Arial" w:cs="Arial"/>
          <w:lang w:val="en-GB"/>
        </w:rPr>
      </w:pPr>
      <w:r w:rsidRPr="00FB671D">
        <w:rPr>
          <w:rFonts w:ascii="Arial" w:hAnsi="Arial" w:cs="Arial"/>
          <w:lang w:val="en-GB"/>
        </w:rPr>
        <w:t>Facilitate a process to inform local decisions on the funding of those medicines</w:t>
      </w:r>
      <w:r w:rsidRPr="00FB671D">
        <w:rPr>
          <w:lang w:val="en-GB"/>
        </w:rPr>
        <w:t xml:space="preserve"> </w:t>
      </w:r>
      <w:r w:rsidRPr="00FB671D">
        <w:rPr>
          <w:rFonts w:ascii="Arial" w:hAnsi="Arial" w:cs="Arial"/>
          <w:lang w:val="en-GB"/>
        </w:rPr>
        <w:t>and medical devices which are available on NHS prescription not considered by NICE, in accordance with the requirements of the NHS Constitution and Secretary of State Directions to the NHS on Local Decision Making.</w:t>
      </w:r>
    </w:p>
    <w:p w14:paraId="60B083B5" w14:textId="77777777" w:rsidR="0027574A" w:rsidRPr="00FB671D" w:rsidRDefault="0027574A" w:rsidP="0027574A">
      <w:pPr>
        <w:numPr>
          <w:ilvl w:val="0"/>
          <w:numId w:val="2"/>
        </w:numPr>
        <w:spacing w:before="100" w:beforeAutospacing="1" w:after="100" w:afterAutospacing="1" w:line="276" w:lineRule="auto"/>
        <w:rPr>
          <w:rFonts w:ascii="Arial" w:eastAsia="Times New Roman" w:hAnsi="Arial" w:cs="Arial"/>
          <w:lang w:val="en-GB" w:eastAsia="en-GB"/>
        </w:rPr>
      </w:pPr>
      <w:r w:rsidRPr="00FB671D">
        <w:rPr>
          <w:rFonts w:ascii="Arial" w:eastAsia="Times New Roman" w:hAnsi="Arial" w:cs="Arial"/>
          <w:lang w:val="en-GB" w:eastAsia="en-GB"/>
        </w:rPr>
        <w:t>Engage relevant clinical opinion from stakeholder organisations in the development of proposals and recommendations on the management of medicines</w:t>
      </w:r>
      <w:r w:rsidRPr="00FB671D">
        <w:rPr>
          <w:rFonts w:ascii="Times New Roman" w:eastAsia="Times New Roman" w:hAnsi="Times New Roman"/>
          <w:sz w:val="24"/>
          <w:szCs w:val="24"/>
          <w:lang w:val="en-GB" w:eastAsia="en-GB"/>
        </w:rPr>
        <w:t xml:space="preserve"> </w:t>
      </w:r>
      <w:r w:rsidRPr="00FB671D">
        <w:rPr>
          <w:rFonts w:ascii="Arial" w:eastAsia="Times New Roman" w:hAnsi="Arial" w:cs="Arial"/>
          <w:lang w:val="en-GB" w:eastAsia="en-GB"/>
        </w:rPr>
        <w:t xml:space="preserve">and medical devices which are available on NHS prescription, with particular focus on their place in therapy within care pathways, formulary status, and traffic light status. </w:t>
      </w:r>
    </w:p>
    <w:p w14:paraId="60B083B6" w14:textId="77777777" w:rsidR="0027574A" w:rsidRPr="00FB671D" w:rsidRDefault="0027574A" w:rsidP="0027574A">
      <w:pPr>
        <w:numPr>
          <w:ilvl w:val="0"/>
          <w:numId w:val="2"/>
        </w:numPr>
        <w:spacing w:before="100" w:beforeAutospacing="1" w:after="100" w:afterAutospacing="1" w:line="276" w:lineRule="auto"/>
        <w:rPr>
          <w:rFonts w:ascii="Arial" w:eastAsia="Times New Roman" w:hAnsi="Arial" w:cs="Arial"/>
          <w:lang w:val="en-GB" w:eastAsia="en-GB"/>
        </w:rPr>
      </w:pPr>
      <w:r w:rsidRPr="00FB671D">
        <w:rPr>
          <w:rFonts w:ascii="Arial" w:eastAsia="Times New Roman" w:hAnsi="Arial" w:cs="Arial"/>
          <w:lang w:val="en-GB" w:eastAsia="en-GB"/>
        </w:rPr>
        <w:t xml:space="preserve">Engage representative patient opinion in the development of proposals and recommendations </w:t>
      </w:r>
      <w:proofErr w:type="gramStart"/>
      <w:r w:rsidRPr="00FB671D">
        <w:rPr>
          <w:rFonts w:ascii="Arial" w:eastAsia="Times New Roman" w:hAnsi="Arial" w:cs="Arial"/>
          <w:lang w:val="en-GB" w:eastAsia="en-GB"/>
        </w:rPr>
        <w:t>e.g.</w:t>
      </w:r>
      <w:proofErr w:type="gramEnd"/>
      <w:r w:rsidRPr="00FB671D">
        <w:rPr>
          <w:rFonts w:ascii="Arial" w:eastAsia="Times New Roman" w:hAnsi="Arial" w:cs="Arial"/>
          <w:lang w:val="en-GB" w:eastAsia="en-GB"/>
        </w:rPr>
        <w:t xml:space="preserve"> by consulting relevant patient interest groups as appropriate.</w:t>
      </w:r>
    </w:p>
    <w:p w14:paraId="60B083B7" w14:textId="77777777" w:rsidR="0027574A" w:rsidRPr="00FB671D" w:rsidRDefault="0027574A" w:rsidP="0027574A">
      <w:pPr>
        <w:numPr>
          <w:ilvl w:val="0"/>
          <w:numId w:val="2"/>
        </w:numPr>
        <w:spacing w:after="200" w:line="276" w:lineRule="auto"/>
        <w:contextualSpacing/>
        <w:rPr>
          <w:rFonts w:ascii="Arial" w:hAnsi="Arial" w:cs="Arial"/>
          <w:lang w:val="en-GB"/>
        </w:rPr>
      </w:pPr>
      <w:r w:rsidRPr="00FB671D">
        <w:rPr>
          <w:rFonts w:ascii="Arial" w:hAnsi="Arial" w:cs="Arial"/>
          <w:lang w:val="en-GB"/>
        </w:rPr>
        <w:t>Make prescribing formulary recommendations for the use of medicines</w:t>
      </w:r>
      <w:r w:rsidRPr="00FB671D">
        <w:rPr>
          <w:lang w:val="en-GB"/>
        </w:rPr>
        <w:t xml:space="preserve"> </w:t>
      </w:r>
      <w:r w:rsidRPr="00FB671D">
        <w:rPr>
          <w:rFonts w:ascii="Arial" w:hAnsi="Arial" w:cs="Arial"/>
          <w:lang w:val="en-GB"/>
        </w:rPr>
        <w:t xml:space="preserve">and medical devices which are available on NHS prescription incorporating recommendations from NICE and local commissioning decisions for </w:t>
      </w:r>
      <w:proofErr w:type="gramStart"/>
      <w:r w:rsidRPr="00FB671D">
        <w:rPr>
          <w:rFonts w:ascii="Arial" w:hAnsi="Arial" w:cs="Arial"/>
          <w:lang w:val="en-GB"/>
        </w:rPr>
        <w:t>high cost</w:t>
      </w:r>
      <w:proofErr w:type="gramEnd"/>
      <w:r w:rsidRPr="00FB671D">
        <w:rPr>
          <w:rFonts w:ascii="Arial" w:hAnsi="Arial" w:cs="Arial"/>
          <w:lang w:val="en-GB"/>
        </w:rPr>
        <w:t xml:space="preserve"> drugs. The methodology </w:t>
      </w:r>
      <w:r w:rsidRPr="00FB671D">
        <w:rPr>
          <w:rFonts w:ascii="Arial" w:hAnsi="Arial" w:cs="Arial"/>
          <w:lang w:val="en-GB"/>
        </w:rPr>
        <w:lastRenderedPageBreak/>
        <w:t>will include a Traffic Light system to ensure that the provision of care in respect of medicines management is delivered within the most appropriate care setting.</w:t>
      </w:r>
    </w:p>
    <w:p w14:paraId="60B083B8" w14:textId="0AA2607E" w:rsidR="0027574A" w:rsidRPr="00FB671D" w:rsidRDefault="0027574A" w:rsidP="0027574A">
      <w:pPr>
        <w:numPr>
          <w:ilvl w:val="0"/>
          <w:numId w:val="2"/>
        </w:numPr>
        <w:spacing w:after="200" w:line="276" w:lineRule="auto"/>
        <w:contextualSpacing/>
        <w:rPr>
          <w:rFonts w:ascii="Arial" w:hAnsi="Arial" w:cs="Arial"/>
          <w:lang w:val="en-GB"/>
        </w:rPr>
      </w:pPr>
      <w:r w:rsidRPr="00FB671D">
        <w:rPr>
          <w:rFonts w:ascii="Arial" w:hAnsi="Arial" w:cs="Arial"/>
          <w:lang w:val="en-GB"/>
        </w:rPr>
        <w:t>Facilitate the production of shared care arrangements and treatment guidelines for the prescribing, supply and utilisation of medicines</w:t>
      </w:r>
      <w:r w:rsidRPr="00FB671D">
        <w:rPr>
          <w:lang w:val="en-GB"/>
        </w:rPr>
        <w:t xml:space="preserve"> </w:t>
      </w:r>
      <w:r w:rsidRPr="00FB671D">
        <w:rPr>
          <w:rFonts w:ascii="Arial" w:hAnsi="Arial" w:cs="Arial"/>
          <w:lang w:val="en-GB"/>
        </w:rPr>
        <w:t xml:space="preserve">and medical devices which are available on NHS prescription within the most appropriate care settings across the </w:t>
      </w:r>
      <w:r w:rsidR="00824B07">
        <w:rPr>
          <w:rFonts w:ascii="Arial" w:hAnsi="Arial" w:cs="Arial"/>
          <w:b/>
          <w:bCs/>
          <w:color w:val="FF0000"/>
          <w:lang w:val="en-GB"/>
        </w:rPr>
        <w:t>[Region]</w:t>
      </w:r>
      <w:r w:rsidRPr="00FB671D">
        <w:rPr>
          <w:rFonts w:ascii="Arial" w:hAnsi="Arial" w:cs="Arial"/>
          <w:lang w:val="en-GB"/>
        </w:rPr>
        <w:t xml:space="preserve"> health and social care system. </w:t>
      </w:r>
    </w:p>
    <w:p w14:paraId="60B083B9" w14:textId="77777777" w:rsidR="0027574A" w:rsidRPr="00FB671D" w:rsidRDefault="0027574A" w:rsidP="0027574A">
      <w:pPr>
        <w:numPr>
          <w:ilvl w:val="0"/>
          <w:numId w:val="2"/>
        </w:numPr>
        <w:spacing w:after="200" w:line="276" w:lineRule="auto"/>
        <w:contextualSpacing/>
        <w:rPr>
          <w:rFonts w:ascii="Arial" w:hAnsi="Arial" w:cs="Arial"/>
          <w:lang w:val="en-GB"/>
        </w:rPr>
      </w:pPr>
      <w:r w:rsidRPr="00FB671D">
        <w:rPr>
          <w:rFonts w:ascii="Arial" w:hAnsi="Arial" w:cs="Arial"/>
          <w:lang w:val="en-GB"/>
        </w:rPr>
        <w:t>Consider recommendations from NICE and MHRA Drug Safety Updates relating to the use of medicines</w:t>
      </w:r>
      <w:r w:rsidRPr="00FB671D">
        <w:rPr>
          <w:lang w:val="en-GB"/>
        </w:rPr>
        <w:t xml:space="preserve"> </w:t>
      </w:r>
      <w:r w:rsidRPr="00FB671D">
        <w:rPr>
          <w:rFonts w:ascii="Arial" w:hAnsi="Arial" w:cs="Arial"/>
          <w:lang w:val="en-GB"/>
        </w:rPr>
        <w:t xml:space="preserve">and medical devices which are available on NHS prescription and advise on required amendments to prescribing formularies to facilitate the safe, </w:t>
      </w:r>
      <w:proofErr w:type="gramStart"/>
      <w:r w:rsidRPr="00FB671D">
        <w:rPr>
          <w:rFonts w:ascii="Arial" w:hAnsi="Arial" w:cs="Arial"/>
          <w:lang w:val="en-GB"/>
        </w:rPr>
        <w:t>effective</w:t>
      </w:r>
      <w:proofErr w:type="gramEnd"/>
      <w:r w:rsidRPr="00FB671D">
        <w:rPr>
          <w:rFonts w:ascii="Arial" w:hAnsi="Arial" w:cs="Arial"/>
          <w:lang w:val="en-GB"/>
        </w:rPr>
        <w:t xml:space="preserve"> and prompt implementation of advice. </w:t>
      </w:r>
    </w:p>
    <w:p w14:paraId="60B083BA" w14:textId="77777777" w:rsidR="0027574A" w:rsidRPr="00FB671D" w:rsidRDefault="0027574A" w:rsidP="0027574A">
      <w:pPr>
        <w:numPr>
          <w:ilvl w:val="0"/>
          <w:numId w:val="2"/>
        </w:numPr>
        <w:spacing w:before="100" w:beforeAutospacing="1" w:after="100" w:afterAutospacing="1" w:line="276" w:lineRule="auto"/>
        <w:rPr>
          <w:rFonts w:ascii="Arial" w:eastAsia="Times New Roman" w:hAnsi="Arial" w:cs="Arial"/>
          <w:lang w:val="en-GB" w:eastAsia="en-GB"/>
        </w:rPr>
      </w:pPr>
      <w:r w:rsidRPr="00FB671D">
        <w:rPr>
          <w:rFonts w:ascii="Arial" w:eastAsia="Times New Roman" w:hAnsi="Arial" w:cs="Arial"/>
          <w:lang w:val="en-GB" w:eastAsia="en-GB"/>
        </w:rPr>
        <w:t>Consider how the impact of new medicines</w:t>
      </w:r>
      <w:r w:rsidRPr="00FB671D">
        <w:rPr>
          <w:rFonts w:ascii="Times New Roman" w:eastAsia="Times New Roman" w:hAnsi="Times New Roman"/>
          <w:sz w:val="24"/>
          <w:szCs w:val="24"/>
          <w:lang w:val="en-GB" w:eastAsia="en-GB"/>
        </w:rPr>
        <w:t xml:space="preserve"> </w:t>
      </w:r>
      <w:r w:rsidRPr="00FB671D">
        <w:rPr>
          <w:rFonts w:ascii="Arial" w:eastAsia="Times New Roman" w:hAnsi="Arial" w:cs="Arial"/>
          <w:lang w:val="en-GB" w:eastAsia="en-GB"/>
        </w:rPr>
        <w:t>and medical devices which are available on NHS prescription affects policies relating to the commissioning of services.  Consider potential service implications associated with the managed introduction of a new medicines or the use of an established medicine for a new indication</w:t>
      </w:r>
    </w:p>
    <w:p w14:paraId="60B083BB" w14:textId="77777777" w:rsidR="0027574A" w:rsidRPr="00FB671D" w:rsidRDefault="0027574A" w:rsidP="0027574A">
      <w:pPr>
        <w:numPr>
          <w:ilvl w:val="0"/>
          <w:numId w:val="2"/>
        </w:numPr>
        <w:spacing w:after="200" w:line="276" w:lineRule="auto"/>
        <w:contextualSpacing/>
        <w:rPr>
          <w:rFonts w:ascii="Arial" w:hAnsi="Arial" w:cs="Arial"/>
          <w:lang w:val="en-GB"/>
        </w:rPr>
      </w:pPr>
      <w:r w:rsidRPr="00FB671D">
        <w:rPr>
          <w:rFonts w:ascii="Arial" w:hAnsi="Arial" w:cs="Arial"/>
          <w:lang w:val="en-GB"/>
        </w:rPr>
        <w:t xml:space="preserve">Provide an overview of the uptake and adoption of any recommendations made by the group. </w:t>
      </w:r>
    </w:p>
    <w:p w14:paraId="60B083BC" w14:textId="77777777" w:rsidR="0027574A" w:rsidRPr="00FB671D" w:rsidRDefault="0027574A" w:rsidP="0027574A">
      <w:pPr>
        <w:numPr>
          <w:ilvl w:val="0"/>
          <w:numId w:val="2"/>
        </w:numPr>
        <w:spacing w:after="200" w:line="276" w:lineRule="auto"/>
        <w:contextualSpacing/>
        <w:rPr>
          <w:rFonts w:ascii="Arial" w:hAnsi="Arial" w:cs="Arial"/>
          <w:lang w:val="en-GB"/>
        </w:rPr>
      </w:pPr>
      <w:r w:rsidRPr="00FB671D">
        <w:rPr>
          <w:rFonts w:ascii="Arial" w:hAnsi="Arial" w:cs="Arial"/>
          <w:lang w:val="en-GB"/>
        </w:rPr>
        <w:t>Ensure that patient outcomes and safety considerations are at the forefront of recommendations made.</w:t>
      </w:r>
    </w:p>
    <w:p w14:paraId="60B083BD" w14:textId="77777777" w:rsidR="0027574A" w:rsidRPr="00FB671D" w:rsidRDefault="0027574A" w:rsidP="0027574A">
      <w:pPr>
        <w:rPr>
          <w:rFonts w:ascii="Arial" w:hAnsi="Arial" w:cs="Arial"/>
          <w:b/>
          <w:lang w:val="en-GB"/>
        </w:rPr>
      </w:pPr>
    </w:p>
    <w:p w14:paraId="60B083BE" w14:textId="77777777" w:rsidR="0027574A" w:rsidRPr="00FB671D" w:rsidRDefault="0027574A" w:rsidP="0027574A">
      <w:pPr>
        <w:rPr>
          <w:rFonts w:ascii="Arial" w:hAnsi="Arial" w:cs="Arial"/>
          <w:b/>
          <w:lang w:val="en-GB"/>
        </w:rPr>
      </w:pPr>
      <w:r w:rsidRPr="00FB671D">
        <w:rPr>
          <w:rFonts w:ascii="Arial" w:hAnsi="Arial" w:cs="Arial"/>
          <w:b/>
          <w:lang w:val="en-GB"/>
        </w:rPr>
        <w:t>WIDER CONTEXT</w:t>
      </w:r>
    </w:p>
    <w:p w14:paraId="60B083BF" w14:textId="77777777" w:rsidR="0027574A" w:rsidRPr="00FB671D" w:rsidRDefault="0027574A" w:rsidP="0027574A">
      <w:pPr>
        <w:numPr>
          <w:ilvl w:val="0"/>
          <w:numId w:val="3"/>
        </w:numPr>
        <w:spacing w:after="200" w:line="276" w:lineRule="auto"/>
        <w:contextualSpacing/>
        <w:rPr>
          <w:rFonts w:ascii="Arial" w:hAnsi="Arial" w:cs="Arial"/>
          <w:lang w:val="en-GB"/>
        </w:rPr>
      </w:pPr>
      <w:r w:rsidRPr="00FB671D">
        <w:rPr>
          <w:rFonts w:ascii="Arial" w:hAnsi="Arial" w:cs="Arial"/>
          <w:lang w:val="en-GB"/>
        </w:rPr>
        <w:t xml:space="preserve">Consider funding pathways and work with commissioners, providers and contractors to ensure that systems are in place to manage </w:t>
      </w:r>
      <w:proofErr w:type="gramStart"/>
      <w:r w:rsidRPr="00FB671D">
        <w:rPr>
          <w:rFonts w:ascii="Arial" w:hAnsi="Arial" w:cs="Arial"/>
          <w:lang w:val="en-GB"/>
        </w:rPr>
        <w:t>high cost</w:t>
      </w:r>
      <w:proofErr w:type="gramEnd"/>
      <w:r w:rsidRPr="00FB671D">
        <w:rPr>
          <w:rFonts w:ascii="Arial" w:hAnsi="Arial" w:cs="Arial"/>
          <w:lang w:val="en-GB"/>
        </w:rPr>
        <w:t xml:space="preserve"> medicines within the context of existing and future financial frameworks (for example PbR tariff exclusions).</w:t>
      </w:r>
    </w:p>
    <w:p w14:paraId="60B083C0" w14:textId="77777777" w:rsidR="0027574A" w:rsidRPr="00FB671D" w:rsidRDefault="0027574A" w:rsidP="0027574A">
      <w:pPr>
        <w:numPr>
          <w:ilvl w:val="0"/>
          <w:numId w:val="3"/>
        </w:numPr>
        <w:spacing w:after="200" w:line="276" w:lineRule="auto"/>
        <w:contextualSpacing/>
        <w:rPr>
          <w:rFonts w:ascii="Arial" w:hAnsi="Arial" w:cs="Arial"/>
          <w:lang w:val="en-GB"/>
        </w:rPr>
      </w:pPr>
      <w:r w:rsidRPr="00FB671D">
        <w:rPr>
          <w:rFonts w:ascii="Arial" w:hAnsi="Arial" w:cs="Arial"/>
          <w:lang w:val="en-GB"/>
        </w:rPr>
        <w:t xml:space="preserve">Highlight to stakeholder organisations the potential clinical, financial and service impact and benefits of medicines under review, for consideration as part of </w:t>
      </w:r>
      <w:proofErr w:type="gramStart"/>
      <w:r w:rsidRPr="00FB671D">
        <w:rPr>
          <w:rFonts w:ascii="Arial" w:hAnsi="Arial" w:cs="Arial"/>
          <w:lang w:val="en-GB"/>
        </w:rPr>
        <w:t>decision making</w:t>
      </w:r>
      <w:proofErr w:type="gramEnd"/>
      <w:r w:rsidRPr="00FB671D">
        <w:rPr>
          <w:rFonts w:ascii="Arial" w:hAnsi="Arial" w:cs="Arial"/>
          <w:lang w:val="en-GB"/>
        </w:rPr>
        <w:t xml:space="preserve"> processes.</w:t>
      </w:r>
    </w:p>
    <w:p w14:paraId="60B083C1" w14:textId="77777777" w:rsidR="0027574A" w:rsidRPr="00FB671D" w:rsidRDefault="0027574A" w:rsidP="0027574A">
      <w:pPr>
        <w:numPr>
          <w:ilvl w:val="0"/>
          <w:numId w:val="3"/>
        </w:numPr>
        <w:spacing w:after="200" w:line="276" w:lineRule="auto"/>
        <w:contextualSpacing/>
        <w:rPr>
          <w:rFonts w:ascii="Arial" w:hAnsi="Arial" w:cs="Arial"/>
          <w:lang w:val="en-GB"/>
        </w:rPr>
      </w:pPr>
      <w:r w:rsidRPr="00FB671D">
        <w:rPr>
          <w:rFonts w:ascii="Arial" w:hAnsi="Arial" w:cs="Arial"/>
          <w:lang w:val="en-GB"/>
        </w:rPr>
        <w:t>Support commissioning organisations in their processes for managing individual funding requests (IFRs) and exceptional case requests by making evidence-based policy recommendations where appropriate.</w:t>
      </w:r>
    </w:p>
    <w:p w14:paraId="60B083C2" w14:textId="6C1584EB" w:rsidR="0027574A" w:rsidRPr="00FB671D" w:rsidRDefault="0027574A" w:rsidP="0027574A">
      <w:pPr>
        <w:numPr>
          <w:ilvl w:val="0"/>
          <w:numId w:val="3"/>
        </w:numPr>
        <w:spacing w:after="200" w:line="276" w:lineRule="auto"/>
        <w:contextualSpacing/>
        <w:rPr>
          <w:rFonts w:ascii="Arial" w:hAnsi="Arial" w:cs="Arial"/>
          <w:lang w:val="en-GB"/>
        </w:rPr>
      </w:pPr>
      <w:r w:rsidRPr="00FB671D">
        <w:rPr>
          <w:rFonts w:ascii="Arial" w:hAnsi="Arial" w:cs="Arial"/>
          <w:lang w:val="en-GB"/>
        </w:rPr>
        <w:t xml:space="preserve">Consider changes in service delivery that impact on medicines management across </w:t>
      </w:r>
      <w:r w:rsidR="00824B07">
        <w:rPr>
          <w:rFonts w:ascii="Arial" w:hAnsi="Arial" w:cs="Arial"/>
          <w:b/>
          <w:bCs/>
          <w:color w:val="FF0000"/>
          <w:lang w:val="en-GB"/>
        </w:rPr>
        <w:t>[Region]</w:t>
      </w:r>
      <w:r w:rsidRPr="00FB671D">
        <w:rPr>
          <w:rFonts w:ascii="Arial" w:hAnsi="Arial" w:cs="Arial"/>
          <w:lang w:val="en-GB"/>
        </w:rPr>
        <w:t>, promoting the integration of prescribing and medicines use issues with the mainstream commissioning process and wider healthcare service planning.</w:t>
      </w:r>
    </w:p>
    <w:p w14:paraId="60B083C3" w14:textId="77777777" w:rsidR="0027574A" w:rsidRPr="00FB671D" w:rsidRDefault="0027574A" w:rsidP="0027574A">
      <w:pPr>
        <w:numPr>
          <w:ilvl w:val="0"/>
          <w:numId w:val="3"/>
        </w:numPr>
        <w:spacing w:after="200" w:line="276" w:lineRule="auto"/>
        <w:contextualSpacing/>
        <w:rPr>
          <w:rFonts w:ascii="Arial" w:hAnsi="Arial" w:cs="Arial"/>
          <w:lang w:val="en-GB"/>
        </w:rPr>
      </w:pPr>
      <w:r w:rsidRPr="00FB671D">
        <w:rPr>
          <w:rFonts w:ascii="Arial" w:hAnsi="Arial" w:cs="Arial"/>
          <w:lang w:val="en-GB"/>
        </w:rPr>
        <w:t>Consider social and local authority issues relating to medicines management including relevant recommendations from joint Pharmaceutical Needs Assessments.</w:t>
      </w:r>
    </w:p>
    <w:p w14:paraId="60B083C4" w14:textId="77777777" w:rsidR="0027574A" w:rsidRPr="00FB671D" w:rsidRDefault="0027574A" w:rsidP="0027574A">
      <w:pPr>
        <w:numPr>
          <w:ilvl w:val="0"/>
          <w:numId w:val="6"/>
        </w:numPr>
        <w:spacing w:after="200" w:line="276" w:lineRule="auto"/>
        <w:contextualSpacing/>
        <w:rPr>
          <w:rFonts w:ascii="Arial" w:hAnsi="Arial" w:cs="Arial"/>
          <w:lang w:val="en-GB"/>
        </w:rPr>
      </w:pPr>
      <w:r w:rsidRPr="00FB671D">
        <w:rPr>
          <w:rFonts w:ascii="Arial" w:hAnsi="Arial" w:cs="Arial"/>
          <w:lang w:val="en-GB"/>
        </w:rPr>
        <w:t xml:space="preserve">Support risk management, </w:t>
      </w:r>
      <w:proofErr w:type="gramStart"/>
      <w:r w:rsidRPr="00FB671D">
        <w:rPr>
          <w:rFonts w:ascii="Arial" w:hAnsi="Arial" w:cs="Arial"/>
          <w:lang w:val="en-GB"/>
        </w:rPr>
        <w:t>audit</w:t>
      </w:r>
      <w:proofErr w:type="gramEnd"/>
      <w:r w:rsidRPr="00FB671D">
        <w:rPr>
          <w:rFonts w:ascii="Arial" w:hAnsi="Arial" w:cs="Arial"/>
          <w:lang w:val="en-GB"/>
        </w:rPr>
        <w:t xml:space="preserve"> and research relevant to medicines-related issues.</w:t>
      </w:r>
    </w:p>
    <w:p w14:paraId="60B083C5" w14:textId="77777777" w:rsidR="0027574A" w:rsidRPr="00FB671D" w:rsidRDefault="0027574A" w:rsidP="0027574A">
      <w:pPr>
        <w:numPr>
          <w:ilvl w:val="0"/>
          <w:numId w:val="3"/>
        </w:numPr>
        <w:spacing w:after="200" w:line="276" w:lineRule="auto"/>
        <w:contextualSpacing/>
        <w:rPr>
          <w:rFonts w:ascii="Arial" w:hAnsi="Arial" w:cs="Arial"/>
          <w:lang w:val="en-GB"/>
        </w:rPr>
      </w:pPr>
      <w:r w:rsidRPr="00FB671D">
        <w:rPr>
          <w:rFonts w:ascii="Arial" w:hAnsi="Arial" w:cs="Arial"/>
          <w:lang w:val="en-GB"/>
        </w:rPr>
        <w:t>Ensure that any recommendations made by the committee are communicated to the relevant commissioning group and provider organisation for due consideration</w:t>
      </w:r>
    </w:p>
    <w:p w14:paraId="60B083C6" w14:textId="77777777" w:rsidR="0027574A" w:rsidRPr="00FB671D" w:rsidRDefault="0027574A" w:rsidP="0027574A">
      <w:pPr>
        <w:numPr>
          <w:ilvl w:val="0"/>
          <w:numId w:val="3"/>
        </w:numPr>
        <w:spacing w:after="200" w:line="276" w:lineRule="auto"/>
        <w:contextualSpacing/>
        <w:rPr>
          <w:rFonts w:ascii="Arial" w:hAnsi="Arial" w:cs="Arial"/>
          <w:lang w:val="en-GB"/>
        </w:rPr>
      </w:pPr>
      <w:r w:rsidRPr="00FB671D">
        <w:rPr>
          <w:rFonts w:ascii="Arial" w:hAnsi="Arial" w:cs="Arial"/>
          <w:lang w:val="en-GB"/>
        </w:rPr>
        <w:t>Identify working groups to undertake projects as necessary.</w:t>
      </w:r>
    </w:p>
    <w:p w14:paraId="60B083C7" w14:textId="77777777" w:rsidR="0027574A" w:rsidRPr="00FB671D" w:rsidRDefault="0027574A" w:rsidP="0027574A">
      <w:pPr>
        <w:numPr>
          <w:ilvl w:val="0"/>
          <w:numId w:val="3"/>
        </w:numPr>
        <w:spacing w:after="200" w:line="276" w:lineRule="auto"/>
        <w:contextualSpacing/>
        <w:rPr>
          <w:rFonts w:ascii="Arial" w:hAnsi="Arial" w:cs="Arial"/>
          <w:lang w:val="en-GB"/>
        </w:rPr>
      </w:pPr>
      <w:r w:rsidRPr="00FB671D">
        <w:rPr>
          <w:rFonts w:ascii="Arial" w:hAnsi="Arial" w:cs="Arial"/>
          <w:lang w:val="en-GB"/>
        </w:rPr>
        <w:t>Receive recommendations from working groups for discussion and ratification where appropriate.</w:t>
      </w:r>
    </w:p>
    <w:p w14:paraId="60B083C8" w14:textId="77777777" w:rsidR="0027574A" w:rsidRPr="00FB671D" w:rsidRDefault="0027574A" w:rsidP="0027574A">
      <w:pPr>
        <w:numPr>
          <w:ilvl w:val="0"/>
          <w:numId w:val="3"/>
        </w:numPr>
        <w:spacing w:after="200" w:line="276" w:lineRule="auto"/>
        <w:contextualSpacing/>
        <w:rPr>
          <w:rFonts w:ascii="Arial" w:hAnsi="Arial" w:cs="Arial"/>
          <w:lang w:val="en-GB"/>
        </w:rPr>
      </w:pPr>
      <w:r w:rsidRPr="00FB671D">
        <w:rPr>
          <w:rFonts w:ascii="Arial" w:hAnsi="Arial" w:cs="Arial"/>
          <w:lang w:val="en-GB"/>
        </w:rPr>
        <w:t>Ensure there are communication links in place with other relevant bodies, including Trust Drugs and Therapeutics Committees, health economy medicines management groups, Health and Wellbeing Boards, NHS England Area Team (including specialist commissioning team), Clinical Networks, CCG medicines management committees and other groups as appropriate.</w:t>
      </w:r>
    </w:p>
    <w:p w14:paraId="60B083C9" w14:textId="77777777" w:rsidR="0027574A" w:rsidRPr="00FB671D" w:rsidRDefault="0027574A" w:rsidP="0027574A">
      <w:pPr>
        <w:rPr>
          <w:rFonts w:ascii="Arial" w:hAnsi="Arial" w:cs="Arial"/>
          <w:lang w:val="en-GB"/>
        </w:rPr>
      </w:pPr>
    </w:p>
    <w:p w14:paraId="60B083CA" w14:textId="77777777" w:rsidR="0027574A" w:rsidRPr="00FB671D" w:rsidRDefault="0027574A" w:rsidP="0027574A">
      <w:pPr>
        <w:rPr>
          <w:rFonts w:ascii="Arial" w:hAnsi="Arial" w:cs="Arial"/>
          <w:b/>
          <w:lang w:val="en-GB"/>
        </w:rPr>
      </w:pPr>
      <w:r w:rsidRPr="00FB671D">
        <w:rPr>
          <w:rFonts w:ascii="Arial" w:hAnsi="Arial" w:cs="Arial"/>
          <w:b/>
          <w:lang w:val="en-GB"/>
        </w:rPr>
        <w:lastRenderedPageBreak/>
        <w:t>SUB-GROUPS</w:t>
      </w:r>
    </w:p>
    <w:p w14:paraId="60B083CB" w14:textId="7E996E36" w:rsidR="0027574A" w:rsidRPr="00FB671D" w:rsidRDefault="0027574A" w:rsidP="0027574A">
      <w:pPr>
        <w:rPr>
          <w:rFonts w:ascii="Arial" w:hAnsi="Arial" w:cs="Arial"/>
          <w:lang w:val="en-GB"/>
        </w:rPr>
      </w:pPr>
      <w:r w:rsidRPr="00FB671D">
        <w:rPr>
          <w:rFonts w:ascii="Arial" w:hAnsi="Arial" w:cs="Arial"/>
          <w:lang w:val="en-GB"/>
        </w:rPr>
        <w:t xml:space="preserve">The </w:t>
      </w:r>
      <w:r w:rsidR="00824B07">
        <w:rPr>
          <w:rFonts w:ascii="Arial" w:hAnsi="Arial" w:cs="Arial"/>
          <w:b/>
          <w:bCs/>
          <w:color w:val="FF0000"/>
          <w:lang w:val="en-GB"/>
        </w:rPr>
        <w:t>[Region]</w:t>
      </w:r>
      <w:r w:rsidRPr="00FB671D">
        <w:rPr>
          <w:rFonts w:ascii="Arial" w:hAnsi="Arial" w:cs="Arial"/>
          <w:lang w:val="en-GB"/>
        </w:rPr>
        <w:t xml:space="preserve"> Care NHS Foundation Trust Drug and Therapeutics Committee will provide expert advice in relation to the prioritisation and commissioning of mental health drugs, including formulary recommendations. Its membership will include commissioner representation.</w:t>
      </w:r>
    </w:p>
    <w:p w14:paraId="60B083CC" w14:textId="77777777" w:rsidR="0027574A" w:rsidRPr="00FB671D" w:rsidRDefault="0027574A" w:rsidP="0027574A">
      <w:pPr>
        <w:rPr>
          <w:rFonts w:ascii="Arial" w:hAnsi="Arial" w:cs="Arial"/>
          <w:lang w:val="en-GB"/>
        </w:rPr>
      </w:pPr>
    </w:p>
    <w:p w14:paraId="60B083CD" w14:textId="125C825D" w:rsidR="0027574A" w:rsidRPr="00FB671D" w:rsidRDefault="0027574A" w:rsidP="0027574A">
      <w:pPr>
        <w:rPr>
          <w:rFonts w:ascii="Arial" w:hAnsi="Arial" w:cs="Arial"/>
          <w:lang w:val="en-GB"/>
        </w:rPr>
      </w:pPr>
      <w:r w:rsidRPr="00FB671D">
        <w:rPr>
          <w:rFonts w:ascii="Arial" w:hAnsi="Arial" w:cs="Arial"/>
          <w:lang w:val="en-GB"/>
        </w:rPr>
        <w:t xml:space="preserve">Working groups (professionally supported by the </w:t>
      </w:r>
      <w:r w:rsidR="00824B07">
        <w:rPr>
          <w:rFonts w:ascii="Arial" w:hAnsi="Arial" w:cs="Arial"/>
          <w:b/>
          <w:bCs/>
          <w:color w:val="FF0000"/>
          <w:lang w:val="en-GB"/>
        </w:rPr>
        <w:t>[Name of CSU]</w:t>
      </w:r>
      <w:r w:rsidRPr="00FB671D">
        <w:rPr>
          <w:rFonts w:ascii="Arial" w:hAnsi="Arial" w:cs="Arial"/>
          <w:lang w:val="en-GB"/>
        </w:rPr>
        <w:t>) will be established to undertake specific pieces of work according to need, e.g.</w:t>
      </w:r>
      <w:r w:rsidR="00A30BC4">
        <w:rPr>
          <w:rFonts w:ascii="Arial" w:hAnsi="Arial" w:cs="Arial"/>
          <w:lang w:val="en-GB"/>
        </w:rPr>
        <w:t>,</w:t>
      </w:r>
      <w:r w:rsidRPr="00FB671D">
        <w:rPr>
          <w:rFonts w:ascii="Arial" w:hAnsi="Arial" w:cs="Arial"/>
          <w:lang w:val="en-GB"/>
        </w:rPr>
        <w:t xml:space="preserve"> wound care formulary, continence formulary group.</w:t>
      </w:r>
    </w:p>
    <w:p w14:paraId="60B083CE" w14:textId="77777777" w:rsidR="0027574A" w:rsidRPr="00FB671D" w:rsidRDefault="0027574A" w:rsidP="0027574A">
      <w:pPr>
        <w:rPr>
          <w:rFonts w:ascii="Arial" w:hAnsi="Arial" w:cs="Arial"/>
          <w:lang w:val="en-GB"/>
        </w:rPr>
      </w:pPr>
    </w:p>
    <w:p w14:paraId="60B083CF" w14:textId="77777777" w:rsidR="0027574A" w:rsidRPr="00FB671D" w:rsidRDefault="0027574A" w:rsidP="0027574A">
      <w:pPr>
        <w:rPr>
          <w:rFonts w:ascii="Arial" w:hAnsi="Arial" w:cs="Arial"/>
          <w:b/>
          <w:lang w:val="en-GB"/>
        </w:rPr>
      </w:pPr>
      <w:r w:rsidRPr="00FB671D">
        <w:rPr>
          <w:rFonts w:ascii="Arial" w:hAnsi="Arial" w:cs="Arial"/>
          <w:b/>
          <w:lang w:val="en-GB"/>
        </w:rPr>
        <w:t>MEMBERSHIP</w:t>
      </w:r>
    </w:p>
    <w:p w14:paraId="60B083D0" w14:textId="45E0D787" w:rsidR="0027574A" w:rsidRPr="00FB671D" w:rsidRDefault="0027574A" w:rsidP="0027574A">
      <w:pPr>
        <w:rPr>
          <w:rFonts w:ascii="Arial" w:hAnsi="Arial" w:cs="Arial"/>
          <w:lang w:val="en-GB"/>
        </w:rPr>
      </w:pPr>
      <w:r w:rsidRPr="00FB671D">
        <w:rPr>
          <w:rFonts w:ascii="Arial" w:hAnsi="Arial" w:cs="Arial"/>
          <w:lang w:val="en-GB"/>
        </w:rPr>
        <w:t xml:space="preserve">Membership will be representative of the stakeholder organisations across </w:t>
      </w:r>
      <w:r w:rsidR="00824B07">
        <w:rPr>
          <w:rFonts w:ascii="Arial" w:hAnsi="Arial" w:cs="Arial"/>
          <w:b/>
          <w:bCs/>
          <w:color w:val="FF0000"/>
          <w:lang w:val="en-GB"/>
        </w:rPr>
        <w:t>[Region]</w:t>
      </w:r>
      <w:r w:rsidRPr="00FB671D">
        <w:rPr>
          <w:rFonts w:ascii="Arial" w:hAnsi="Arial" w:cs="Arial"/>
          <w:lang w:val="en-GB"/>
        </w:rPr>
        <w:t xml:space="preserve"> and include:</w:t>
      </w:r>
    </w:p>
    <w:p w14:paraId="60B083D1" w14:textId="50ED2E9F" w:rsidR="0027574A" w:rsidRPr="00FB671D" w:rsidRDefault="0027574A" w:rsidP="0027574A">
      <w:pPr>
        <w:numPr>
          <w:ilvl w:val="0"/>
          <w:numId w:val="5"/>
        </w:numPr>
        <w:spacing w:after="200" w:line="276" w:lineRule="auto"/>
        <w:contextualSpacing/>
        <w:rPr>
          <w:rFonts w:ascii="Arial" w:hAnsi="Arial" w:cs="Arial"/>
          <w:lang w:val="en-GB"/>
        </w:rPr>
      </w:pPr>
      <w:r w:rsidRPr="00FB671D">
        <w:rPr>
          <w:rFonts w:ascii="Arial" w:hAnsi="Arial" w:cs="Arial"/>
          <w:lang w:val="en-GB"/>
        </w:rPr>
        <w:t xml:space="preserve">Representative from the </w:t>
      </w:r>
      <w:r w:rsidR="00824B07">
        <w:rPr>
          <w:rFonts w:ascii="Arial" w:hAnsi="Arial" w:cs="Arial"/>
          <w:b/>
          <w:bCs/>
          <w:color w:val="FF0000"/>
          <w:lang w:val="en-GB"/>
        </w:rPr>
        <w:t>[Region]</w:t>
      </w:r>
      <w:r w:rsidRPr="00FB671D">
        <w:rPr>
          <w:rFonts w:ascii="Arial" w:hAnsi="Arial" w:cs="Arial"/>
          <w:lang w:val="en-GB"/>
        </w:rPr>
        <w:t xml:space="preserve"> CCG Chairs Network (to act as Chair of the group)</w:t>
      </w:r>
    </w:p>
    <w:p w14:paraId="60B083D2" w14:textId="77777777" w:rsidR="0027574A" w:rsidRPr="00FB671D" w:rsidRDefault="0027574A" w:rsidP="0027574A">
      <w:pPr>
        <w:numPr>
          <w:ilvl w:val="0"/>
          <w:numId w:val="5"/>
        </w:numPr>
        <w:spacing w:after="200" w:line="276" w:lineRule="auto"/>
        <w:contextualSpacing/>
        <w:rPr>
          <w:rFonts w:ascii="Arial" w:hAnsi="Arial" w:cs="Arial"/>
          <w:lang w:val="en-GB"/>
        </w:rPr>
      </w:pPr>
      <w:r w:rsidRPr="00FB671D">
        <w:rPr>
          <w:rFonts w:ascii="Arial" w:hAnsi="Arial" w:cs="Arial"/>
          <w:lang w:val="en-GB"/>
        </w:rPr>
        <w:t>Clinical Commissioning Group (CCG) senior medical representation</w:t>
      </w:r>
    </w:p>
    <w:p w14:paraId="60B083D3" w14:textId="77777777" w:rsidR="0027574A" w:rsidRPr="00FB671D" w:rsidRDefault="0027574A" w:rsidP="0027574A">
      <w:pPr>
        <w:numPr>
          <w:ilvl w:val="0"/>
          <w:numId w:val="5"/>
        </w:numPr>
        <w:spacing w:after="200" w:line="276" w:lineRule="auto"/>
        <w:contextualSpacing/>
        <w:rPr>
          <w:rFonts w:ascii="Arial" w:hAnsi="Arial" w:cs="Arial"/>
          <w:lang w:val="en-GB"/>
        </w:rPr>
      </w:pPr>
      <w:r w:rsidRPr="00FB671D">
        <w:rPr>
          <w:rFonts w:ascii="Arial" w:hAnsi="Arial" w:cs="Arial"/>
          <w:lang w:val="en-GB"/>
        </w:rPr>
        <w:t xml:space="preserve">Clinical Commissioning Group (CCG) senior pharmacist representation </w:t>
      </w:r>
    </w:p>
    <w:p w14:paraId="60B083D4" w14:textId="77777777" w:rsidR="0027574A" w:rsidRPr="00FB671D" w:rsidRDefault="0027574A" w:rsidP="0027574A">
      <w:pPr>
        <w:numPr>
          <w:ilvl w:val="0"/>
          <w:numId w:val="5"/>
        </w:numPr>
        <w:spacing w:after="200" w:line="276" w:lineRule="auto"/>
        <w:contextualSpacing/>
        <w:rPr>
          <w:rFonts w:ascii="Arial" w:hAnsi="Arial" w:cs="Arial"/>
          <w:lang w:val="en-GB"/>
        </w:rPr>
      </w:pPr>
      <w:r w:rsidRPr="00FB671D">
        <w:rPr>
          <w:rFonts w:ascii="Arial" w:hAnsi="Arial" w:cs="Arial"/>
          <w:lang w:val="en-GB"/>
        </w:rPr>
        <w:t>NHS Trust / Foundation Trust senior medical representation</w:t>
      </w:r>
    </w:p>
    <w:p w14:paraId="60B083D5" w14:textId="77777777" w:rsidR="0027574A" w:rsidRPr="00FB671D" w:rsidRDefault="0027574A" w:rsidP="0027574A">
      <w:pPr>
        <w:numPr>
          <w:ilvl w:val="0"/>
          <w:numId w:val="5"/>
        </w:numPr>
        <w:spacing w:after="200" w:line="276" w:lineRule="auto"/>
        <w:contextualSpacing/>
        <w:rPr>
          <w:rFonts w:ascii="Arial" w:hAnsi="Arial" w:cs="Arial"/>
          <w:lang w:val="en-GB"/>
        </w:rPr>
      </w:pPr>
      <w:r w:rsidRPr="00FB671D">
        <w:rPr>
          <w:rFonts w:ascii="Arial" w:hAnsi="Arial" w:cs="Arial"/>
          <w:lang w:val="en-GB"/>
        </w:rPr>
        <w:t>NHS Trust / Foundation senior pharmacist representation</w:t>
      </w:r>
    </w:p>
    <w:p w14:paraId="60B083D6" w14:textId="77777777" w:rsidR="0027574A" w:rsidRPr="00FB671D" w:rsidRDefault="0027574A" w:rsidP="0027574A">
      <w:pPr>
        <w:numPr>
          <w:ilvl w:val="0"/>
          <w:numId w:val="5"/>
        </w:numPr>
        <w:spacing w:after="200" w:line="276" w:lineRule="auto"/>
        <w:contextualSpacing/>
        <w:rPr>
          <w:rFonts w:ascii="Arial" w:hAnsi="Arial" w:cs="Arial"/>
          <w:lang w:val="en-GB"/>
        </w:rPr>
      </w:pPr>
      <w:r w:rsidRPr="00FB671D">
        <w:rPr>
          <w:rFonts w:ascii="Arial" w:hAnsi="Arial" w:cs="Arial"/>
          <w:lang w:val="en-GB"/>
        </w:rPr>
        <w:t>NHS England Area Team representative</w:t>
      </w:r>
    </w:p>
    <w:p w14:paraId="60B083D7" w14:textId="77777777" w:rsidR="0027574A" w:rsidRPr="00FB671D" w:rsidRDefault="0027574A" w:rsidP="0027574A">
      <w:pPr>
        <w:numPr>
          <w:ilvl w:val="0"/>
          <w:numId w:val="5"/>
        </w:numPr>
        <w:spacing w:after="200" w:line="276" w:lineRule="auto"/>
        <w:contextualSpacing/>
        <w:rPr>
          <w:rFonts w:ascii="Arial" w:hAnsi="Arial" w:cs="Arial"/>
          <w:lang w:val="en-GB"/>
        </w:rPr>
      </w:pPr>
      <w:r w:rsidRPr="00FB671D">
        <w:rPr>
          <w:rFonts w:ascii="Arial" w:hAnsi="Arial" w:cs="Arial"/>
          <w:lang w:val="en-GB"/>
        </w:rPr>
        <w:t>Local Authority public health representative</w:t>
      </w:r>
    </w:p>
    <w:p w14:paraId="60B083D8" w14:textId="3622603B" w:rsidR="0027574A" w:rsidRPr="00FB671D" w:rsidRDefault="0027574A" w:rsidP="0027574A">
      <w:pPr>
        <w:numPr>
          <w:ilvl w:val="0"/>
          <w:numId w:val="5"/>
        </w:numPr>
        <w:spacing w:after="200" w:line="276" w:lineRule="auto"/>
        <w:contextualSpacing/>
        <w:rPr>
          <w:rFonts w:ascii="Arial" w:hAnsi="Arial" w:cs="Arial"/>
          <w:lang w:val="en-GB"/>
        </w:rPr>
      </w:pPr>
      <w:r w:rsidRPr="00FB671D">
        <w:rPr>
          <w:rFonts w:ascii="Arial" w:hAnsi="Arial" w:cs="Arial"/>
          <w:lang w:val="en-GB"/>
        </w:rPr>
        <w:t xml:space="preserve">Pharmacist representative from the </w:t>
      </w:r>
      <w:r w:rsidR="00824B07">
        <w:rPr>
          <w:rFonts w:ascii="Arial" w:hAnsi="Arial" w:cs="Arial"/>
          <w:b/>
          <w:bCs/>
          <w:color w:val="FF0000"/>
          <w:lang w:val="en-GB"/>
        </w:rPr>
        <w:t>[Region]</w:t>
      </w:r>
      <w:r w:rsidR="00824B07" w:rsidRPr="00FB671D">
        <w:rPr>
          <w:rFonts w:ascii="Arial" w:hAnsi="Arial" w:cs="Arial"/>
          <w:lang w:val="en-GB"/>
        </w:rPr>
        <w:t xml:space="preserve"> </w:t>
      </w:r>
      <w:r w:rsidRPr="00FB671D">
        <w:rPr>
          <w:rFonts w:ascii="Arial" w:hAnsi="Arial" w:cs="Arial"/>
          <w:lang w:val="en-GB"/>
        </w:rPr>
        <w:t xml:space="preserve">Local Pharmacy Network </w:t>
      </w:r>
    </w:p>
    <w:p w14:paraId="60B083D9" w14:textId="77777777" w:rsidR="0027574A" w:rsidRPr="00FB671D" w:rsidRDefault="0027574A" w:rsidP="0027574A">
      <w:pPr>
        <w:contextualSpacing/>
        <w:rPr>
          <w:rFonts w:ascii="Arial" w:hAnsi="Arial" w:cs="Arial"/>
          <w:lang w:val="en-GB"/>
        </w:rPr>
      </w:pPr>
    </w:p>
    <w:p w14:paraId="60B083DA" w14:textId="77777777" w:rsidR="0027574A" w:rsidRPr="00FB671D" w:rsidRDefault="0027574A" w:rsidP="0027574A">
      <w:pPr>
        <w:spacing w:after="200" w:line="276" w:lineRule="auto"/>
        <w:rPr>
          <w:rFonts w:ascii="Arial" w:hAnsi="Arial" w:cs="Arial"/>
          <w:b/>
          <w:lang w:val="en-GB"/>
        </w:rPr>
      </w:pPr>
      <w:r w:rsidRPr="00FB671D">
        <w:rPr>
          <w:rFonts w:ascii="Arial" w:hAnsi="Arial" w:cs="Arial"/>
          <w:b/>
          <w:lang w:val="en-GB"/>
        </w:rPr>
        <w:t>Members should:</w:t>
      </w:r>
    </w:p>
    <w:p w14:paraId="60B083DB" w14:textId="77777777" w:rsidR="0027574A" w:rsidRPr="00FB671D" w:rsidRDefault="0027574A" w:rsidP="0027574A">
      <w:pPr>
        <w:numPr>
          <w:ilvl w:val="0"/>
          <w:numId w:val="4"/>
        </w:numPr>
        <w:spacing w:after="200" w:line="276" w:lineRule="auto"/>
        <w:contextualSpacing/>
        <w:rPr>
          <w:rFonts w:ascii="Arial" w:hAnsi="Arial" w:cs="Arial"/>
          <w:lang w:val="en-GB"/>
        </w:rPr>
      </w:pPr>
      <w:r w:rsidRPr="00FB671D">
        <w:rPr>
          <w:rFonts w:ascii="Arial" w:hAnsi="Arial" w:cs="Arial"/>
          <w:lang w:val="en-GB"/>
        </w:rPr>
        <w:t>Commit to regular attendance of the committee to ensure continuity and balance of input into the formulation of recommendations</w:t>
      </w:r>
    </w:p>
    <w:p w14:paraId="60B083DC" w14:textId="77777777" w:rsidR="0027574A" w:rsidRPr="00FB671D" w:rsidRDefault="0027574A" w:rsidP="0027574A">
      <w:pPr>
        <w:numPr>
          <w:ilvl w:val="0"/>
          <w:numId w:val="4"/>
        </w:numPr>
        <w:spacing w:after="200" w:line="276" w:lineRule="auto"/>
        <w:contextualSpacing/>
        <w:rPr>
          <w:rFonts w:ascii="Arial" w:hAnsi="Arial" w:cs="Arial"/>
          <w:lang w:val="en-GB"/>
        </w:rPr>
      </w:pPr>
      <w:r w:rsidRPr="00FB671D">
        <w:rPr>
          <w:rFonts w:ascii="Arial" w:hAnsi="Arial" w:cs="Arial"/>
          <w:lang w:val="en-GB"/>
        </w:rPr>
        <w:t>Review the agenda and supporting papers in advance of the meeting</w:t>
      </w:r>
    </w:p>
    <w:p w14:paraId="60B083DD" w14:textId="77777777" w:rsidR="0027574A" w:rsidRPr="00FB671D" w:rsidRDefault="0027574A" w:rsidP="0027574A">
      <w:pPr>
        <w:numPr>
          <w:ilvl w:val="0"/>
          <w:numId w:val="4"/>
        </w:numPr>
        <w:spacing w:after="200" w:line="276" w:lineRule="auto"/>
        <w:contextualSpacing/>
        <w:rPr>
          <w:rFonts w:ascii="Arial" w:hAnsi="Arial" w:cs="Arial"/>
          <w:lang w:val="en-GB"/>
        </w:rPr>
      </w:pPr>
      <w:r w:rsidRPr="00FB671D">
        <w:rPr>
          <w:rFonts w:ascii="Arial" w:hAnsi="Arial" w:cs="Arial"/>
          <w:lang w:val="en-GB"/>
        </w:rPr>
        <w:t>Act as a representative of their organisation within the committee</w:t>
      </w:r>
    </w:p>
    <w:p w14:paraId="60B083DE" w14:textId="77777777" w:rsidR="0027574A" w:rsidRPr="00FB671D" w:rsidRDefault="0027574A" w:rsidP="0027574A">
      <w:pPr>
        <w:numPr>
          <w:ilvl w:val="0"/>
          <w:numId w:val="4"/>
        </w:numPr>
        <w:spacing w:after="200" w:line="276" w:lineRule="auto"/>
        <w:contextualSpacing/>
        <w:rPr>
          <w:rFonts w:ascii="Arial" w:hAnsi="Arial" w:cs="Arial"/>
          <w:lang w:val="en-GB"/>
        </w:rPr>
      </w:pPr>
      <w:r w:rsidRPr="00FB671D">
        <w:rPr>
          <w:rFonts w:ascii="Arial" w:hAnsi="Arial" w:cs="Arial"/>
          <w:lang w:val="en-GB"/>
        </w:rPr>
        <w:t>Send a nominated deputy to meetings if they are unable to attend</w:t>
      </w:r>
    </w:p>
    <w:p w14:paraId="60B083DF" w14:textId="77777777" w:rsidR="0027574A" w:rsidRPr="00FB671D" w:rsidRDefault="0027574A" w:rsidP="0027574A">
      <w:pPr>
        <w:numPr>
          <w:ilvl w:val="0"/>
          <w:numId w:val="4"/>
        </w:numPr>
        <w:spacing w:after="200" w:line="276" w:lineRule="auto"/>
        <w:contextualSpacing/>
        <w:rPr>
          <w:rFonts w:ascii="Arial" w:hAnsi="Arial" w:cs="Arial"/>
          <w:lang w:val="en-GB"/>
        </w:rPr>
      </w:pPr>
      <w:r w:rsidRPr="00FB671D">
        <w:rPr>
          <w:rFonts w:ascii="Arial" w:hAnsi="Arial" w:cs="Arial"/>
          <w:lang w:val="en-GB"/>
        </w:rPr>
        <w:t>Communicate discussions and recommendations back to the organisations they represent, enabling ratification of recommendations as appropriate</w:t>
      </w:r>
    </w:p>
    <w:p w14:paraId="60B083E0" w14:textId="77777777" w:rsidR="0027574A" w:rsidRPr="00FB671D" w:rsidRDefault="0027574A" w:rsidP="0027574A">
      <w:pPr>
        <w:numPr>
          <w:ilvl w:val="0"/>
          <w:numId w:val="4"/>
        </w:numPr>
        <w:spacing w:after="200" w:line="276" w:lineRule="auto"/>
        <w:contextualSpacing/>
        <w:rPr>
          <w:rFonts w:ascii="Arial" w:hAnsi="Arial" w:cs="Arial"/>
          <w:lang w:val="en-GB"/>
        </w:rPr>
      </w:pPr>
      <w:r w:rsidRPr="00FB671D">
        <w:rPr>
          <w:rFonts w:ascii="Arial" w:hAnsi="Arial" w:cs="Arial"/>
          <w:lang w:val="en-GB"/>
        </w:rPr>
        <w:t>Act as representative of the committee within their own organisation</w:t>
      </w:r>
    </w:p>
    <w:p w14:paraId="60B083E1" w14:textId="77777777" w:rsidR="0027574A" w:rsidRPr="00FB671D" w:rsidRDefault="0027574A" w:rsidP="0027574A">
      <w:pPr>
        <w:numPr>
          <w:ilvl w:val="0"/>
          <w:numId w:val="4"/>
        </w:numPr>
        <w:spacing w:after="200" w:line="276" w:lineRule="auto"/>
        <w:contextualSpacing/>
        <w:rPr>
          <w:rFonts w:ascii="Arial" w:hAnsi="Arial" w:cs="Arial"/>
          <w:lang w:val="en-GB"/>
        </w:rPr>
      </w:pPr>
      <w:r w:rsidRPr="00FB671D">
        <w:rPr>
          <w:rFonts w:ascii="Arial" w:hAnsi="Arial" w:cs="Arial"/>
          <w:lang w:val="en-GB"/>
        </w:rPr>
        <w:t xml:space="preserve">Declare any relevant interests relating to the agenda at each meeting and declare all pertinent interests through the Annual Declaration of </w:t>
      </w:r>
      <w:proofErr w:type="gramStart"/>
      <w:r w:rsidRPr="00FB671D">
        <w:rPr>
          <w:rFonts w:ascii="Arial" w:hAnsi="Arial" w:cs="Arial"/>
          <w:lang w:val="en-GB"/>
        </w:rPr>
        <w:t>interests</w:t>
      </w:r>
      <w:proofErr w:type="gramEnd"/>
      <w:r w:rsidRPr="00FB671D">
        <w:rPr>
          <w:rFonts w:ascii="Arial" w:hAnsi="Arial" w:cs="Arial"/>
          <w:lang w:val="en-GB"/>
        </w:rPr>
        <w:t xml:space="preserve"> process</w:t>
      </w:r>
    </w:p>
    <w:p w14:paraId="60B083E2" w14:textId="77777777" w:rsidR="0027574A" w:rsidRPr="00FB671D" w:rsidRDefault="0027574A" w:rsidP="0027574A">
      <w:pPr>
        <w:numPr>
          <w:ilvl w:val="0"/>
          <w:numId w:val="4"/>
        </w:numPr>
        <w:spacing w:after="200" w:line="276" w:lineRule="auto"/>
        <w:contextualSpacing/>
        <w:rPr>
          <w:rFonts w:ascii="Arial" w:hAnsi="Arial" w:cs="Arial"/>
          <w:lang w:val="en-GB"/>
        </w:rPr>
      </w:pPr>
      <w:r w:rsidRPr="00FB671D">
        <w:rPr>
          <w:rFonts w:ascii="Arial" w:hAnsi="Arial" w:cs="Arial"/>
          <w:lang w:val="en-GB"/>
        </w:rPr>
        <w:t>Undertake any post meeting actions, as agreed at the meeting</w:t>
      </w:r>
    </w:p>
    <w:p w14:paraId="60B083E3" w14:textId="5684BFA1" w:rsidR="0027574A" w:rsidRPr="00FB671D" w:rsidRDefault="0027574A" w:rsidP="0027574A">
      <w:pPr>
        <w:numPr>
          <w:ilvl w:val="0"/>
          <w:numId w:val="4"/>
        </w:numPr>
        <w:spacing w:after="200" w:line="276" w:lineRule="auto"/>
        <w:contextualSpacing/>
        <w:rPr>
          <w:rFonts w:ascii="Arial" w:hAnsi="Arial" w:cs="Arial"/>
          <w:lang w:val="en-GB"/>
        </w:rPr>
      </w:pPr>
      <w:r w:rsidRPr="00FB671D">
        <w:rPr>
          <w:rFonts w:ascii="Arial" w:hAnsi="Arial" w:cs="Arial"/>
          <w:lang w:val="en-GB"/>
        </w:rPr>
        <w:t xml:space="preserve">Maintain the confidentiality of material marked as confidential, received in accordance with the business of the </w:t>
      </w:r>
      <w:r w:rsidR="00824B07">
        <w:rPr>
          <w:rFonts w:ascii="Arial" w:hAnsi="Arial" w:cs="Arial"/>
          <w:b/>
          <w:bCs/>
          <w:color w:val="FF0000"/>
          <w:lang w:val="en-GB"/>
        </w:rPr>
        <w:t>[Name of group/APC]</w:t>
      </w:r>
    </w:p>
    <w:p w14:paraId="60B083E4" w14:textId="74CA3DD9" w:rsidR="0027574A" w:rsidRPr="00FB671D" w:rsidRDefault="0027574A" w:rsidP="0027574A">
      <w:pPr>
        <w:numPr>
          <w:ilvl w:val="0"/>
          <w:numId w:val="4"/>
        </w:numPr>
        <w:spacing w:after="200" w:line="276" w:lineRule="auto"/>
        <w:contextualSpacing/>
        <w:rPr>
          <w:rFonts w:ascii="Arial" w:hAnsi="Arial" w:cs="Arial"/>
          <w:lang w:val="en-GB"/>
        </w:rPr>
      </w:pPr>
      <w:r w:rsidRPr="00FB671D">
        <w:rPr>
          <w:rFonts w:ascii="Arial" w:hAnsi="Arial" w:cs="Arial"/>
          <w:lang w:val="en-GB"/>
        </w:rPr>
        <w:t xml:space="preserve">Update the Group on relevant business from stakeholder groups and organisations relevant to the business of the </w:t>
      </w:r>
      <w:r w:rsidR="006F3C3D">
        <w:rPr>
          <w:rFonts w:ascii="Arial" w:hAnsi="Arial" w:cs="Arial"/>
          <w:b/>
          <w:bCs/>
          <w:color w:val="FF0000"/>
          <w:lang w:val="en-GB"/>
        </w:rPr>
        <w:t>[</w:t>
      </w:r>
      <w:r w:rsidR="006F3C3D">
        <w:rPr>
          <w:rFonts w:ascii="Arial" w:hAnsi="Arial" w:cs="Arial"/>
          <w:b/>
          <w:bCs/>
          <w:color w:val="FF0000"/>
          <w:sz w:val="24"/>
          <w:szCs w:val="24"/>
          <w:lang w:val="en-GB"/>
        </w:rPr>
        <w:t>Group acronym]</w:t>
      </w:r>
    </w:p>
    <w:p w14:paraId="60B083E5" w14:textId="77777777" w:rsidR="0027574A" w:rsidRPr="00FB671D" w:rsidRDefault="0027574A" w:rsidP="0027574A">
      <w:pPr>
        <w:rPr>
          <w:rFonts w:ascii="Arial" w:hAnsi="Arial" w:cs="Arial"/>
          <w:b/>
          <w:lang w:val="en-GB"/>
        </w:rPr>
      </w:pPr>
    </w:p>
    <w:p w14:paraId="60B083E6" w14:textId="77777777" w:rsidR="0027574A" w:rsidRPr="00FB671D" w:rsidRDefault="0027574A" w:rsidP="0027574A">
      <w:pPr>
        <w:rPr>
          <w:rFonts w:ascii="Arial" w:hAnsi="Arial" w:cs="Arial"/>
          <w:lang w:val="en-GB"/>
        </w:rPr>
      </w:pPr>
      <w:r w:rsidRPr="00FB671D">
        <w:rPr>
          <w:rFonts w:ascii="Arial" w:hAnsi="Arial" w:cs="Arial"/>
          <w:b/>
          <w:lang w:val="en-GB"/>
        </w:rPr>
        <w:t>In attendance</w:t>
      </w:r>
    </w:p>
    <w:p w14:paraId="60B083E7" w14:textId="77777777" w:rsidR="0027574A" w:rsidRPr="00FB671D" w:rsidRDefault="0027574A" w:rsidP="0027574A">
      <w:pPr>
        <w:numPr>
          <w:ilvl w:val="0"/>
          <w:numId w:val="5"/>
        </w:numPr>
        <w:spacing w:after="200" w:line="276" w:lineRule="auto"/>
        <w:contextualSpacing/>
        <w:rPr>
          <w:rFonts w:ascii="Arial" w:hAnsi="Arial" w:cs="Arial"/>
          <w:lang w:val="en-GB"/>
        </w:rPr>
      </w:pPr>
      <w:r w:rsidRPr="00FB671D">
        <w:rPr>
          <w:rFonts w:ascii="Arial" w:hAnsi="Arial" w:cs="Arial"/>
          <w:lang w:val="en-GB"/>
        </w:rPr>
        <w:t>Commissioning Support Unit Medicines Management lead / professional support</w:t>
      </w:r>
    </w:p>
    <w:p w14:paraId="60B083E8" w14:textId="77777777" w:rsidR="0027574A" w:rsidRPr="00FB671D" w:rsidRDefault="0027574A" w:rsidP="0027574A">
      <w:pPr>
        <w:numPr>
          <w:ilvl w:val="0"/>
          <w:numId w:val="5"/>
        </w:numPr>
        <w:spacing w:after="200" w:line="276" w:lineRule="auto"/>
        <w:contextualSpacing/>
        <w:rPr>
          <w:rFonts w:ascii="Arial" w:hAnsi="Arial" w:cs="Arial"/>
          <w:lang w:val="en-GB"/>
        </w:rPr>
      </w:pPr>
      <w:r w:rsidRPr="00FB671D">
        <w:rPr>
          <w:rFonts w:ascii="Arial" w:hAnsi="Arial" w:cs="Arial"/>
          <w:lang w:val="en-GB"/>
        </w:rPr>
        <w:t>Other relevant persons (including clinical experts) may be invited to attend the meeting for the purpose of providing advice and / or clarification to the group.</w:t>
      </w:r>
    </w:p>
    <w:p w14:paraId="60B083E9" w14:textId="77777777" w:rsidR="0027574A" w:rsidRPr="00FB671D" w:rsidRDefault="0027574A" w:rsidP="0027574A">
      <w:pPr>
        <w:rPr>
          <w:rFonts w:ascii="Arial" w:hAnsi="Arial" w:cs="Arial"/>
          <w:lang w:val="en-GB"/>
        </w:rPr>
      </w:pPr>
    </w:p>
    <w:p w14:paraId="60B083EA" w14:textId="77777777" w:rsidR="0027574A" w:rsidRPr="00FB671D" w:rsidRDefault="0027574A" w:rsidP="0027574A">
      <w:pPr>
        <w:rPr>
          <w:rFonts w:ascii="Arial" w:hAnsi="Arial" w:cs="Arial"/>
          <w:b/>
          <w:lang w:val="en-GB"/>
        </w:rPr>
      </w:pPr>
    </w:p>
    <w:p w14:paraId="60B083EB" w14:textId="77777777" w:rsidR="0027574A" w:rsidRPr="00FB671D" w:rsidRDefault="0027574A" w:rsidP="0027574A">
      <w:pPr>
        <w:rPr>
          <w:rFonts w:ascii="Arial" w:hAnsi="Arial" w:cs="Arial"/>
          <w:b/>
          <w:lang w:val="en-GB"/>
        </w:rPr>
      </w:pPr>
      <w:r w:rsidRPr="00FB671D">
        <w:rPr>
          <w:rFonts w:ascii="Arial" w:hAnsi="Arial" w:cs="Arial"/>
          <w:b/>
          <w:lang w:val="en-GB"/>
        </w:rPr>
        <w:t>FREQUENCY OF MEETINGS AND QUORACY</w:t>
      </w:r>
    </w:p>
    <w:p w14:paraId="60B083EC" w14:textId="77777777" w:rsidR="0027574A" w:rsidRPr="00FB671D" w:rsidRDefault="0027574A" w:rsidP="0027574A">
      <w:pPr>
        <w:rPr>
          <w:rFonts w:ascii="Arial" w:hAnsi="Arial" w:cs="Arial"/>
          <w:lang w:val="en-GB"/>
        </w:rPr>
      </w:pPr>
      <w:r w:rsidRPr="00FB671D">
        <w:rPr>
          <w:rFonts w:ascii="Arial" w:hAnsi="Arial" w:cs="Arial"/>
          <w:lang w:val="en-GB"/>
        </w:rPr>
        <w:lastRenderedPageBreak/>
        <w:t>A minimum of 8 meetings per year will be held. A quorum of 8 members will be required, with representation from CCGs and provider Trusts.</w:t>
      </w:r>
    </w:p>
    <w:p w14:paraId="60B083ED" w14:textId="77777777" w:rsidR="0027574A" w:rsidRPr="00FB671D" w:rsidRDefault="0027574A" w:rsidP="0027574A">
      <w:pPr>
        <w:rPr>
          <w:rFonts w:ascii="Arial" w:hAnsi="Arial" w:cs="Arial"/>
          <w:b/>
          <w:lang w:val="en-GB"/>
        </w:rPr>
      </w:pPr>
    </w:p>
    <w:p w14:paraId="60B083EE" w14:textId="77777777" w:rsidR="0027574A" w:rsidRPr="00FB671D" w:rsidRDefault="0027574A" w:rsidP="0027574A">
      <w:pPr>
        <w:rPr>
          <w:rFonts w:ascii="Arial" w:hAnsi="Arial" w:cs="Arial"/>
          <w:b/>
          <w:lang w:val="en-GB"/>
        </w:rPr>
      </w:pPr>
      <w:r w:rsidRPr="00FB671D">
        <w:rPr>
          <w:rFonts w:ascii="Arial" w:hAnsi="Arial" w:cs="Arial"/>
          <w:b/>
          <w:lang w:val="en-GB"/>
        </w:rPr>
        <w:t>SCHEME OF DELEGATION AND VOTING</w:t>
      </w:r>
    </w:p>
    <w:p w14:paraId="60B083EF" w14:textId="1075061E" w:rsidR="0027574A" w:rsidRPr="00FB671D" w:rsidRDefault="0027574A" w:rsidP="0027574A">
      <w:pPr>
        <w:rPr>
          <w:rFonts w:ascii="Arial" w:hAnsi="Arial" w:cs="Arial"/>
          <w:lang w:val="en-GB"/>
        </w:rPr>
      </w:pPr>
      <w:r w:rsidRPr="00FB671D">
        <w:rPr>
          <w:rFonts w:ascii="Arial" w:hAnsi="Arial" w:cs="Arial"/>
          <w:lang w:val="en-GB"/>
        </w:rPr>
        <w:t xml:space="preserve">The group has delegated authority to make </w:t>
      </w:r>
      <w:r w:rsidRPr="00FB671D">
        <w:rPr>
          <w:rFonts w:ascii="Arial" w:hAnsi="Arial" w:cs="Arial"/>
          <w:i/>
          <w:lang w:val="en-GB"/>
        </w:rPr>
        <w:t>recommendations</w:t>
      </w:r>
      <w:r w:rsidRPr="00FB671D">
        <w:rPr>
          <w:rFonts w:ascii="Arial" w:hAnsi="Arial" w:cs="Arial"/>
          <w:lang w:val="en-GB"/>
        </w:rPr>
        <w:t xml:space="preserve"> to stakeholder organisations that are ultimately accountable for their individual organisational endorsement of the </w:t>
      </w:r>
      <w:r w:rsidR="006F3C3D">
        <w:rPr>
          <w:rFonts w:ascii="Arial" w:hAnsi="Arial" w:cs="Arial"/>
          <w:b/>
          <w:bCs/>
          <w:color w:val="FF0000"/>
          <w:lang w:val="en-GB"/>
        </w:rPr>
        <w:t>[</w:t>
      </w:r>
      <w:r w:rsidR="006F3C3D">
        <w:rPr>
          <w:rFonts w:ascii="Arial" w:hAnsi="Arial" w:cs="Arial"/>
          <w:b/>
          <w:bCs/>
          <w:color w:val="FF0000"/>
          <w:sz w:val="24"/>
          <w:szCs w:val="24"/>
          <w:lang w:val="en-GB"/>
        </w:rPr>
        <w:t>Group acronym]</w:t>
      </w:r>
      <w:r w:rsidRPr="00FB671D">
        <w:rPr>
          <w:rFonts w:ascii="Arial" w:hAnsi="Arial" w:cs="Arial"/>
          <w:lang w:val="en-GB"/>
        </w:rPr>
        <w:t xml:space="preserve"> decisions in accordance with their integrated governance processes.</w:t>
      </w:r>
    </w:p>
    <w:p w14:paraId="60B083F0" w14:textId="77777777" w:rsidR="0027574A" w:rsidRPr="00FB671D" w:rsidRDefault="0027574A" w:rsidP="0027574A">
      <w:pPr>
        <w:rPr>
          <w:rFonts w:ascii="Arial" w:hAnsi="Arial" w:cs="Arial"/>
          <w:b/>
          <w:lang w:val="en-GB"/>
        </w:rPr>
      </w:pPr>
    </w:p>
    <w:p w14:paraId="60B083F1" w14:textId="77777777" w:rsidR="0027574A" w:rsidRPr="00FB671D" w:rsidRDefault="0027574A" w:rsidP="0027574A">
      <w:pPr>
        <w:rPr>
          <w:rFonts w:ascii="Arial" w:hAnsi="Arial" w:cs="Arial"/>
          <w:lang w:val="en-GB"/>
        </w:rPr>
      </w:pPr>
      <w:r w:rsidRPr="00FB671D">
        <w:rPr>
          <w:rFonts w:ascii="Arial" w:hAnsi="Arial" w:cs="Arial"/>
          <w:lang w:val="en-GB"/>
        </w:rPr>
        <w:t xml:space="preserve">Recommendations will be made in accordance with stakeholder agreed principles for the commissioning of health and healthcare, taking into consideration evidence of efficacy, cost effectiveness, patient outcomes, safety, affordability and projected cost, and patient benefits. The group will promote treatments for which there is good evidence of clinical effectiveness in improving the health status of patients and is affordable. </w:t>
      </w:r>
    </w:p>
    <w:p w14:paraId="60B083F2" w14:textId="77777777" w:rsidR="0027574A" w:rsidRPr="00FB671D" w:rsidRDefault="0027574A" w:rsidP="0027574A">
      <w:pPr>
        <w:rPr>
          <w:rFonts w:ascii="Arial" w:hAnsi="Arial" w:cs="Arial"/>
          <w:lang w:val="en-GB"/>
        </w:rPr>
      </w:pPr>
    </w:p>
    <w:p w14:paraId="60B083F3" w14:textId="77777777" w:rsidR="0027574A" w:rsidRPr="00FB671D" w:rsidRDefault="0027574A" w:rsidP="0027574A">
      <w:pPr>
        <w:rPr>
          <w:rFonts w:ascii="Arial" w:hAnsi="Arial" w:cs="Arial"/>
          <w:lang w:val="en-GB"/>
        </w:rPr>
      </w:pPr>
      <w:r w:rsidRPr="00FB671D">
        <w:rPr>
          <w:rFonts w:ascii="Arial" w:hAnsi="Arial" w:cs="Arial"/>
          <w:lang w:val="en-GB"/>
        </w:rPr>
        <w:t xml:space="preserve">When there are conflicting opinions within the meeting and a consensus agreement cannot be reached, the decision will be put to a majority vote. Voting will be </w:t>
      </w:r>
      <w:proofErr w:type="gramStart"/>
      <w:r w:rsidRPr="00FB671D">
        <w:rPr>
          <w:rFonts w:ascii="Arial" w:hAnsi="Arial" w:cs="Arial"/>
          <w:lang w:val="en-GB"/>
        </w:rPr>
        <w:t>on the basis of</w:t>
      </w:r>
      <w:proofErr w:type="gramEnd"/>
      <w:r w:rsidRPr="00FB671D">
        <w:rPr>
          <w:rFonts w:ascii="Arial" w:hAnsi="Arial" w:cs="Arial"/>
          <w:lang w:val="en-GB"/>
        </w:rPr>
        <w:t xml:space="preserve"> one vote per organisation, with the Chair having the casting vote.</w:t>
      </w:r>
    </w:p>
    <w:p w14:paraId="60B083F4" w14:textId="77777777" w:rsidR="0027574A" w:rsidRPr="00FB671D" w:rsidRDefault="0027574A" w:rsidP="0027574A">
      <w:pPr>
        <w:rPr>
          <w:rFonts w:ascii="Arial" w:hAnsi="Arial" w:cs="Arial"/>
          <w:lang w:val="en-GB"/>
        </w:rPr>
      </w:pPr>
    </w:p>
    <w:p w14:paraId="60B083F5" w14:textId="77777777" w:rsidR="0027574A" w:rsidRPr="00FB671D" w:rsidRDefault="0027574A" w:rsidP="0027574A">
      <w:pPr>
        <w:rPr>
          <w:rFonts w:ascii="Arial" w:hAnsi="Arial" w:cs="Arial"/>
          <w:b/>
          <w:lang w:val="en-GB"/>
        </w:rPr>
      </w:pPr>
      <w:r w:rsidRPr="00FB671D">
        <w:rPr>
          <w:rFonts w:ascii="Arial" w:hAnsi="Arial" w:cs="Arial"/>
          <w:b/>
          <w:lang w:val="en-GB"/>
        </w:rPr>
        <w:t>APPEALS PROCESS</w:t>
      </w:r>
    </w:p>
    <w:p w14:paraId="60B083F6" w14:textId="4CD5610F" w:rsidR="0027574A" w:rsidRPr="00FB671D" w:rsidRDefault="0027574A" w:rsidP="0027574A">
      <w:pPr>
        <w:rPr>
          <w:rFonts w:ascii="Arial" w:hAnsi="Arial" w:cs="Arial"/>
          <w:lang w:val="en-GB"/>
        </w:rPr>
      </w:pPr>
      <w:r w:rsidRPr="00FB671D">
        <w:rPr>
          <w:rFonts w:ascii="Arial" w:hAnsi="Arial" w:cs="Arial"/>
          <w:lang w:val="en-GB"/>
        </w:rPr>
        <w:t xml:space="preserve">The Group will consider appeals against its recommendations. Appeals will be accepted from </w:t>
      </w:r>
      <w:r w:rsidR="00824B07">
        <w:rPr>
          <w:rFonts w:ascii="Arial" w:hAnsi="Arial" w:cs="Arial"/>
          <w:b/>
          <w:bCs/>
          <w:color w:val="FF0000"/>
          <w:lang w:val="en-GB"/>
        </w:rPr>
        <w:t>[</w:t>
      </w:r>
      <w:r w:rsidR="00824B07">
        <w:rPr>
          <w:rFonts w:ascii="Arial" w:hAnsi="Arial" w:cs="Arial"/>
          <w:b/>
          <w:bCs/>
          <w:color w:val="FF0000"/>
          <w:sz w:val="24"/>
          <w:szCs w:val="24"/>
          <w:lang w:val="en-GB"/>
        </w:rPr>
        <w:t>Group acronym]</w:t>
      </w:r>
      <w:r w:rsidRPr="00FB671D">
        <w:rPr>
          <w:rFonts w:ascii="Arial" w:hAnsi="Arial" w:cs="Arial"/>
          <w:lang w:val="en-GB"/>
        </w:rPr>
        <w:t xml:space="preserve"> member organisations only. Appeals will be accepted within three months of the </w:t>
      </w:r>
      <w:r w:rsidR="00824B07">
        <w:rPr>
          <w:rFonts w:ascii="Arial" w:hAnsi="Arial" w:cs="Arial"/>
          <w:b/>
          <w:bCs/>
          <w:color w:val="FF0000"/>
          <w:lang w:val="en-GB"/>
        </w:rPr>
        <w:t>[</w:t>
      </w:r>
      <w:r w:rsidR="00824B07">
        <w:rPr>
          <w:rFonts w:ascii="Arial" w:hAnsi="Arial" w:cs="Arial"/>
          <w:b/>
          <w:bCs/>
          <w:color w:val="FF0000"/>
          <w:sz w:val="24"/>
          <w:szCs w:val="24"/>
          <w:lang w:val="en-GB"/>
        </w:rPr>
        <w:t>Group acronym]</w:t>
      </w:r>
      <w:r w:rsidRPr="00FB671D">
        <w:rPr>
          <w:rFonts w:ascii="Arial" w:hAnsi="Arial" w:cs="Arial"/>
          <w:lang w:val="en-GB"/>
        </w:rPr>
        <w:t xml:space="preserve"> meeting at which a recommendation was agreed. The following grounds for appeal will be considered:</w:t>
      </w:r>
    </w:p>
    <w:p w14:paraId="60B083F7" w14:textId="77777777" w:rsidR="0027574A" w:rsidRPr="00FB671D" w:rsidRDefault="0027574A" w:rsidP="0027574A">
      <w:pPr>
        <w:rPr>
          <w:rFonts w:ascii="Arial" w:hAnsi="Arial" w:cs="Arial"/>
          <w:lang w:val="en-GB"/>
        </w:rPr>
      </w:pPr>
    </w:p>
    <w:p w14:paraId="60B083F8" w14:textId="56C33B59" w:rsidR="0027574A" w:rsidRPr="00FB671D" w:rsidRDefault="0027574A" w:rsidP="0027574A">
      <w:pPr>
        <w:numPr>
          <w:ilvl w:val="0"/>
          <w:numId w:val="7"/>
        </w:numPr>
        <w:spacing w:after="200" w:line="276" w:lineRule="auto"/>
        <w:contextualSpacing/>
        <w:jc w:val="both"/>
        <w:rPr>
          <w:rFonts w:ascii="Arial" w:hAnsi="Arial" w:cs="Arial"/>
          <w:lang w:val="en-GB"/>
        </w:rPr>
      </w:pPr>
      <w:r w:rsidRPr="00FB671D">
        <w:rPr>
          <w:rFonts w:ascii="Arial" w:hAnsi="Arial" w:cs="Arial"/>
          <w:lang w:val="en-GB"/>
        </w:rPr>
        <w:t xml:space="preserve">that the </w:t>
      </w:r>
      <w:r w:rsidR="00824B07">
        <w:rPr>
          <w:rFonts w:ascii="Arial" w:hAnsi="Arial" w:cs="Arial"/>
          <w:b/>
          <w:bCs/>
          <w:color w:val="FF0000"/>
          <w:lang w:val="en-GB"/>
        </w:rPr>
        <w:t>[</w:t>
      </w:r>
      <w:r w:rsidR="00824B07">
        <w:rPr>
          <w:rFonts w:ascii="Arial" w:hAnsi="Arial" w:cs="Arial"/>
          <w:b/>
          <w:bCs/>
          <w:color w:val="FF0000"/>
          <w:sz w:val="24"/>
          <w:szCs w:val="24"/>
          <w:lang w:val="en-GB"/>
        </w:rPr>
        <w:t>Group acronym]</w:t>
      </w:r>
      <w:r w:rsidRPr="00FB671D">
        <w:rPr>
          <w:rFonts w:ascii="Arial" w:hAnsi="Arial" w:cs="Arial"/>
          <w:lang w:val="en-GB"/>
        </w:rPr>
        <w:t xml:space="preserve"> process had not been appropriately followed; or </w:t>
      </w:r>
    </w:p>
    <w:p w14:paraId="60B083F9" w14:textId="3EC27624" w:rsidR="0027574A" w:rsidRPr="00FB671D" w:rsidRDefault="0027574A" w:rsidP="0027574A">
      <w:pPr>
        <w:numPr>
          <w:ilvl w:val="0"/>
          <w:numId w:val="7"/>
        </w:numPr>
        <w:spacing w:after="200" w:line="276" w:lineRule="auto"/>
        <w:contextualSpacing/>
        <w:jc w:val="both"/>
        <w:rPr>
          <w:rFonts w:ascii="Arial" w:hAnsi="Arial" w:cs="Arial"/>
          <w:lang w:val="en-GB"/>
        </w:rPr>
      </w:pPr>
      <w:r w:rsidRPr="00FB671D">
        <w:rPr>
          <w:rFonts w:ascii="Arial" w:hAnsi="Arial" w:cs="Arial"/>
          <w:lang w:val="en-GB"/>
        </w:rPr>
        <w:t xml:space="preserve">that the </w:t>
      </w:r>
      <w:r w:rsidR="00824B07">
        <w:rPr>
          <w:rFonts w:ascii="Arial" w:hAnsi="Arial" w:cs="Arial"/>
          <w:b/>
          <w:bCs/>
          <w:color w:val="FF0000"/>
          <w:lang w:val="en-GB"/>
        </w:rPr>
        <w:t>[</w:t>
      </w:r>
      <w:r w:rsidR="00824B07">
        <w:rPr>
          <w:rFonts w:ascii="Arial" w:hAnsi="Arial" w:cs="Arial"/>
          <w:b/>
          <w:bCs/>
          <w:color w:val="FF0000"/>
          <w:sz w:val="24"/>
          <w:szCs w:val="24"/>
          <w:lang w:val="en-GB"/>
        </w:rPr>
        <w:t>Group acronym]</w:t>
      </w:r>
      <w:r w:rsidRPr="00FB671D">
        <w:rPr>
          <w:rFonts w:ascii="Arial" w:hAnsi="Arial" w:cs="Arial"/>
          <w:lang w:val="en-GB"/>
        </w:rPr>
        <w:t xml:space="preserve"> recommendation was perverse </w:t>
      </w:r>
      <w:proofErr w:type="gramStart"/>
      <w:r w:rsidRPr="00FB671D">
        <w:rPr>
          <w:rFonts w:ascii="Arial" w:hAnsi="Arial" w:cs="Arial"/>
          <w:lang w:val="en-GB"/>
        </w:rPr>
        <w:t>in light of</w:t>
      </w:r>
      <w:proofErr w:type="gramEnd"/>
      <w:r w:rsidRPr="00FB671D">
        <w:rPr>
          <w:rFonts w:ascii="Arial" w:hAnsi="Arial" w:cs="Arial"/>
          <w:lang w:val="en-GB"/>
        </w:rPr>
        <w:t xml:space="preserve"> the evidence considered.</w:t>
      </w:r>
    </w:p>
    <w:p w14:paraId="60B083FA" w14:textId="2D6DA29A" w:rsidR="0027574A" w:rsidRPr="00FB671D" w:rsidRDefault="0027574A" w:rsidP="0027574A">
      <w:pPr>
        <w:rPr>
          <w:rFonts w:ascii="Arial" w:hAnsi="Arial" w:cs="Arial"/>
          <w:u w:val="single"/>
          <w:lang w:val="en-GB"/>
        </w:rPr>
      </w:pPr>
      <w:r w:rsidRPr="00FB671D">
        <w:rPr>
          <w:rFonts w:ascii="Arial" w:hAnsi="Arial" w:cs="Arial"/>
          <w:lang w:val="en-GB"/>
        </w:rPr>
        <w:t xml:space="preserve">Appeals should be submitted in writing, stating which of the above grounds forms the basis of the appeal. Appeals should be addressed to the Chair of </w:t>
      </w:r>
      <w:r w:rsidR="00824B07">
        <w:rPr>
          <w:rFonts w:ascii="Arial" w:hAnsi="Arial" w:cs="Arial"/>
          <w:b/>
          <w:bCs/>
          <w:color w:val="FF0000"/>
          <w:lang w:val="en-GB"/>
        </w:rPr>
        <w:t>[</w:t>
      </w:r>
      <w:r w:rsidR="00824B07">
        <w:rPr>
          <w:rFonts w:ascii="Arial" w:hAnsi="Arial" w:cs="Arial"/>
          <w:b/>
          <w:bCs/>
          <w:color w:val="FF0000"/>
          <w:sz w:val="24"/>
          <w:szCs w:val="24"/>
          <w:lang w:val="en-GB"/>
        </w:rPr>
        <w:t>Group acronym]</w:t>
      </w:r>
      <w:r w:rsidRPr="00FB671D">
        <w:rPr>
          <w:rFonts w:ascii="Arial" w:hAnsi="Arial" w:cs="Arial"/>
          <w:lang w:val="en-GB"/>
        </w:rPr>
        <w:t xml:space="preserve"> and submitted via</w:t>
      </w:r>
      <w:r w:rsidR="00A30BC4">
        <w:rPr>
          <w:rFonts w:ascii="Arial" w:hAnsi="Arial" w:cs="Arial"/>
          <w:lang w:val="en-GB"/>
        </w:rPr>
        <w:t xml:space="preserve"> </w:t>
      </w:r>
      <w:r w:rsidR="00A30BC4">
        <w:rPr>
          <w:rFonts w:ascii="Arial" w:hAnsi="Arial" w:cs="Arial"/>
          <w:b/>
          <w:bCs/>
          <w:color w:val="FF0000"/>
          <w:lang w:val="en-GB"/>
        </w:rPr>
        <w:t>[Blank]@nhs.net</w:t>
      </w:r>
      <w:r w:rsidRPr="00FB671D">
        <w:rPr>
          <w:rFonts w:ascii="Arial" w:hAnsi="Arial" w:cs="Arial"/>
          <w:lang w:val="en-GB"/>
        </w:rPr>
        <w:t xml:space="preserve"> </w:t>
      </w:r>
      <w:proofErr w:type="gramStart"/>
      <w:r w:rsidRPr="00FB671D">
        <w:rPr>
          <w:rFonts w:ascii="Arial" w:hAnsi="Arial" w:cs="Arial"/>
          <w:lang w:val="en-GB"/>
        </w:rPr>
        <w:t>th</w:t>
      </w:r>
      <w:r w:rsidR="00A30BC4">
        <w:rPr>
          <w:rFonts w:ascii="Arial" w:hAnsi="Arial" w:cs="Arial"/>
          <w:lang w:val="en-GB"/>
        </w:rPr>
        <w:t xml:space="preserve">e </w:t>
      </w:r>
      <w:r w:rsidR="00A30BC4">
        <w:rPr>
          <w:b/>
          <w:bCs/>
          <w:color w:val="FF0000"/>
        </w:rPr>
        <w:t xml:space="preserve"> </w:t>
      </w:r>
      <w:r w:rsidRPr="00FB671D">
        <w:rPr>
          <w:rFonts w:ascii="Arial" w:hAnsi="Arial" w:cs="Arial"/>
          <w:lang w:val="en-GB"/>
        </w:rPr>
        <w:t>email</w:t>
      </w:r>
      <w:proofErr w:type="gramEnd"/>
      <w:r w:rsidRPr="00FB671D">
        <w:rPr>
          <w:rFonts w:ascii="Arial" w:hAnsi="Arial" w:cs="Arial"/>
          <w:lang w:val="en-GB"/>
        </w:rPr>
        <w:t xml:space="preserve"> address. </w:t>
      </w:r>
    </w:p>
    <w:p w14:paraId="60B083FB" w14:textId="77777777" w:rsidR="0027574A" w:rsidRPr="00FB671D" w:rsidRDefault="0027574A" w:rsidP="0027574A">
      <w:pPr>
        <w:rPr>
          <w:rFonts w:ascii="Arial" w:hAnsi="Arial" w:cs="Arial"/>
          <w:lang w:val="en-GB"/>
        </w:rPr>
      </w:pPr>
    </w:p>
    <w:p w14:paraId="60B083FC" w14:textId="77777777" w:rsidR="0027574A" w:rsidRPr="00FB671D" w:rsidRDefault="0027574A" w:rsidP="0027574A">
      <w:pPr>
        <w:rPr>
          <w:rFonts w:ascii="Arial" w:hAnsi="Arial" w:cs="Arial"/>
          <w:lang w:val="en-GB"/>
        </w:rPr>
      </w:pPr>
    </w:p>
    <w:p w14:paraId="60B083FD" w14:textId="77777777" w:rsidR="0027574A" w:rsidRPr="00FB671D" w:rsidRDefault="0027574A" w:rsidP="0027574A">
      <w:pPr>
        <w:rPr>
          <w:rFonts w:ascii="Arial" w:hAnsi="Arial" w:cs="Arial"/>
          <w:lang w:val="en-GB"/>
        </w:rPr>
      </w:pPr>
      <w:r w:rsidRPr="00FB671D">
        <w:rPr>
          <w:rFonts w:ascii="Arial" w:hAnsi="Arial" w:cs="Arial"/>
          <w:b/>
          <w:lang w:val="en-GB"/>
        </w:rPr>
        <w:t>REPORTING ARRANGEMENTS</w:t>
      </w:r>
    </w:p>
    <w:p w14:paraId="60B083FE" w14:textId="77777777" w:rsidR="0027574A" w:rsidRPr="00FB671D" w:rsidRDefault="0027574A" w:rsidP="0027574A">
      <w:pPr>
        <w:rPr>
          <w:rFonts w:ascii="Arial" w:hAnsi="Arial" w:cs="Arial"/>
          <w:lang w:val="en-GB"/>
        </w:rPr>
      </w:pPr>
      <w:r w:rsidRPr="00FB671D">
        <w:rPr>
          <w:rFonts w:ascii="Arial" w:hAnsi="Arial" w:cs="Arial"/>
          <w:lang w:val="en-GB"/>
        </w:rPr>
        <w:t xml:space="preserve">NHS Trust, Foundation Trust and CCG representatives are responsible for agreeing and ratifying Board level reporting arrangements within their own organisations, consistent with their own integrated governance arrangements and </w:t>
      </w:r>
      <w:proofErr w:type="gramStart"/>
      <w:r w:rsidRPr="00FB671D">
        <w:rPr>
          <w:rFonts w:ascii="Arial" w:hAnsi="Arial" w:cs="Arial"/>
          <w:lang w:val="en-GB"/>
        </w:rPr>
        <w:t>with regard to</w:t>
      </w:r>
      <w:proofErr w:type="gramEnd"/>
      <w:r w:rsidRPr="00FB671D">
        <w:rPr>
          <w:rFonts w:ascii="Arial" w:hAnsi="Arial" w:cs="Arial"/>
          <w:lang w:val="en-GB"/>
        </w:rPr>
        <w:t xml:space="preserve"> Regulatory requirements.</w:t>
      </w:r>
    </w:p>
    <w:p w14:paraId="60B083FF" w14:textId="77777777" w:rsidR="0027574A" w:rsidRPr="00FB671D" w:rsidRDefault="0027574A" w:rsidP="0027574A">
      <w:pPr>
        <w:rPr>
          <w:rFonts w:ascii="Arial" w:hAnsi="Arial" w:cs="Arial"/>
          <w:lang w:val="en-GB"/>
        </w:rPr>
      </w:pPr>
    </w:p>
    <w:p w14:paraId="60B08400" w14:textId="5AFE47B9" w:rsidR="0027574A" w:rsidRPr="00FB671D" w:rsidRDefault="0027574A" w:rsidP="0027574A">
      <w:pPr>
        <w:rPr>
          <w:rFonts w:ascii="Arial" w:hAnsi="Arial" w:cs="Arial"/>
          <w:lang w:val="en-GB"/>
        </w:rPr>
      </w:pPr>
      <w:r w:rsidRPr="00FB671D">
        <w:rPr>
          <w:rFonts w:ascii="Arial" w:hAnsi="Arial" w:cs="Arial"/>
          <w:lang w:val="en-GB"/>
        </w:rPr>
        <w:t xml:space="preserve">Copies of the minutes will be sent for information to the </w:t>
      </w:r>
      <w:r w:rsidR="00824B07">
        <w:rPr>
          <w:rFonts w:ascii="Arial" w:hAnsi="Arial" w:cs="Arial"/>
          <w:b/>
          <w:bCs/>
          <w:color w:val="FF0000"/>
          <w:lang w:val="en-GB"/>
        </w:rPr>
        <w:t>[Region]</w:t>
      </w:r>
      <w:r w:rsidRPr="00FB671D">
        <w:rPr>
          <w:rFonts w:ascii="Arial" w:hAnsi="Arial" w:cs="Arial"/>
          <w:lang w:val="en-GB"/>
        </w:rPr>
        <w:t xml:space="preserve"> CCG Network.</w:t>
      </w:r>
    </w:p>
    <w:p w14:paraId="60B08401" w14:textId="77777777" w:rsidR="0027574A" w:rsidRPr="00FB671D" w:rsidRDefault="0027574A" w:rsidP="0027574A">
      <w:pPr>
        <w:rPr>
          <w:rFonts w:ascii="Arial" w:hAnsi="Arial" w:cs="Arial"/>
          <w:lang w:val="en-GB"/>
        </w:rPr>
      </w:pPr>
    </w:p>
    <w:p w14:paraId="60B08402" w14:textId="77777777" w:rsidR="0027574A" w:rsidRPr="00FB671D" w:rsidRDefault="0027574A" w:rsidP="0027574A">
      <w:pPr>
        <w:rPr>
          <w:rFonts w:ascii="Arial" w:hAnsi="Arial" w:cs="Arial"/>
          <w:lang w:val="en-GB"/>
        </w:rPr>
      </w:pPr>
      <w:r w:rsidRPr="00FB671D">
        <w:rPr>
          <w:rFonts w:ascii="Arial" w:hAnsi="Arial" w:cs="Arial"/>
          <w:lang w:val="en-GB"/>
        </w:rPr>
        <w:t>Relationship maps are presented in Appendix 1.</w:t>
      </w:r>
    </w:p>
    <w:p w14:paraId="60B08403" w14:textId="77777777" w:rsidR="0027574A" w:rsidRPr="00FB671D" w:rsidRDefault="0027574A" w:rsidP="0027574A">
      <w:pPr>
        <w:rPr>
          <w:rFonts w:ascii="Arial" w:hAnsi="Arial" w:cs="Arial"/>
          <w:lang w:val="en-GB"/>
        </w:rPr>
      </w:pPr>
    </w:p>
    <w:p w14:paraId="60B08404" w14:textId="77777777" w:rsidR="0027574A" w:rsidRPr="00FB671D" w:rsidRDefault="0027574A" w:rsidP="0027574A">
      <w:pPr>
        <w:rPr>
          <w:rFonts w:ascii="Arial" w:hAnsi="Arial" w:cs="Arial"/>
          <w:b/>
          <w:lang w:val="en-GB"/>
        </w:rPr>
      </w:pPr>
      <w:r w:rsidRPr="00FB671D">
        <w:rPr>
          <w:rFonts w:ascii="Arial" w:hAnsi="Arial" w:cs="Arial"/>
          <w:b/>
          <w:lang w:val="en-GB"/>
        </w:rPr>
        <w:t xml:space="preserve">REVIEW OF TERMS OF REFERENCE </w:t>
      </w:r>
    </w:p>
    <w:p w14:paraId="60B08405" w14:textId="77777777" w:rsidR="0027574A" w:rsidRPr="00FB671D" w:rsidRDefault="0027574A" w:rsidP="0027574A">
      <w:pPr>
        <w:rPr>
          <w:rFonts w:ascii="Arial" w:hAnsi="Arial" w:cs="Arial"/>
          <w:lang w:val="en-GB"/>
        </w:rPr>
      </w:pPr>
      <w:r w:rsidRPr="00FB671D">
        <w:rPr>
          <w:rFonts w:ascii="Arial" w:hAnsi="Arial" w:cs="Arial"/>
          <w:lang w:val="en-GB"/>
        </w:rPr>
        <w:t>These terms of re</w:t>
      </w:r>
      <w:r w:rsidR="00735BBA">
        <w:rPr>
          <w:rFonts w:ascii="Arial" w:hAnsi="Arial" w:cs="Arial"/>
          <w:lang w:val="en-GB"/>
        </w:rPr>
        <w:t>f</w:t>
      </w:r>
      <w:r w:rsidRPr="00FB671D">
        <w:rPr>
          <w:rFonts w:ascii="Arial" w:hAnsi="Arial" w:cs="Arial"/>
          <w:lang w:val="en-GB"/>
        </w:rPr>
        <w:t>erence will be reviewed every 12 months, or sooner if circumstances dictate.</w:t>
      </w:r>
    </w:p>
    <w:p w14:paraId="60B08406" w14:textId="77777777" w:rsidR="0027574A" w:rsidRPr="00FB671D" w:rsidRDefault="0027574A" w:rsidP="0027574A">
      <w:pPr>
        <w:rPr>
          <w:rFonts w:ascii="Arial" w:hAnsi="Arial" w:cs="Arial"/>
          <w:lang w:val="en-GB"/>
        </w:rPr>
      </w:pPr>
    </w:p>
    <w:p w14:paraId="60B08407" w14:textId="05347DB1" w:rsidR="0027574A" w:rsidRPr="0045281B" w:rsidRDefault="0027574A" w:rsidP="0027574A">
      <w:pPr>
        <w:spacing w:after="200" w:line="276" w:lineRule="auto"/>
        <w:rPr>
          <w:rFonts w:ascii="Arial" w:hAnsi="Arial" w:cs="Arial"/>
          <w:b/>
          <w:bCs/>
          <w:color w:val="FF0000"/>
          <w:lang w:val="en-GB"/>
        </w:rPr>
      </w:pPr>
      <w:r w:rsidRPr="00FB671D">
        <w:rPr>
          <w:rFonts w:ascii="Arial" w:hAnsi="Arial" w:cs="Arial"/>
          <w:b/>
          <w:lang w:val="en-GB"/>
        </w:rPr>
        <w:t>Date of last review</w:t>
      </w:r>
      <w:r w:rsidRPr="00FB671D">
        <w:rPr>
          <w:rFonts w:ascii="Arial" w:hAnsi="Arial" w:cs="Arial"/>
          <w:lang w:val="en-GB"/>
        </w:rPr>
        <w:t xml:space="preserve">: </w:t>
      </w:r>
      <w:r w:rsidR="0045281B">
        <w:rPr>
          <w:rFonts w:ascii="Arial" w:hAnsi="Arial" w:cs="Arial"/>
          <w:b/>
          <w:bCs/>
          <w:color w:val="FF0000"/>
          <w:lang w:val="en-GB"/>
        </w:rPr>
        <w:t>[Date]</w:t>
      </w:r>
    </w:p>
    <w:p w14:paraId="60B08408" w14:textId="77777777" w:rsidR="0027574A" w:rsidRPr="00FB671D" w:rsidRDefault="0027574A" w:rsidP="0027574A">
      <w:pPr>
        <w:rPr>
          <w:rFonts w:ascii="Arial" w:hAnsi="Arial" w:cs="Arial"/>
          <w:b/>
          <w:bCs/>
          <w:sz w:val="24"/>
          <w:szCs w:val="24"/>
        </w:rPr>
      </w:pPr>
    </w:p>
    <w:p w14:paraId="60B08409" w14:textId="77777777" w:rsidR="0027574A" w:rsidRPr="00FB671D" w:rsidRDefault="0027574A" w:rsidP="0027574A">
      <w:pPr>
        <w:rPr>
          <w:rFonts w:ascii="Arial" w:hAnsi="Arial" w:cs="Arial"/>
          <w:b/>
          <w:bCs/>
          <w:sz w:val="24"/>
          <w:szCs w:val="24"/>
        </w:rPr>
      </w:pPr>
    </w:p>
    <w:p w14:paraId="60B0840A" w14:textId="77777777" w:rsidR="0027574A" w:rsidRDefault="0027574A" w:rsidP="0027574A">
      <w:pPr>
        <w:rPr>
          <w:rFonts w:ascii="Arial" w:hAnsi="Arial" w:cs="Arial"/>
          <w:b/>
          <w:bCs/>
          <w:sz w:val="24"/>
          <w:szCs w:val="24"/>
        </w:rPr>
      </w:pPr>
    </w:p>
    <w:p w14:paraId="60B0840B" w14:textId="77777777" w:rsidR="0027574A" w:rsidRDefault="0027574A" w:rsidP="0027574A">
      <w:pPr>
        <w:rPr>
          <w:rFonts w:ascii="Arial" w:hAnsi="Arial" w:cs="Arial"/>
          <w:b/>
          <w:bCs/>
          <w:sz w:val="24"/>
          <w:szCs w:val="24"/>
        </w:rPr>
      </w:pPr>
    </w:p>
    <w:p w14:paraId="60B0840C" w14:textId="77777777" w:rsidR="0027574A" w:rsidRDefault="0027574A" w:rsidP="0027574A">
      <w:pPr>
        <w:rPr>
          <w:rFonts w:ascii="Arial" w:hAnsi="Arial" w:cs="Arial"/>
          <w:b/>
          <w:bCs/>
          <w:sz w:val="24"/>
          <w:szCs w:val="24"/>
        </w:rPr>
      </w:pPr>
    </w:p>
    <w:p w14:paraId="60B0840D" w14:textId="77777777" w:rsidR="0027574A" w:rsidRDefault="0027574A" w:rsidP="0027574A">
      <w:pPr>
        <w:rPr>
          <w:rFonts w:ascii="Arial" w:hAnsi="Arial" w:cs="Arial"/>
          <w:b/>
          <w:bCs/>
          <w:sz w:val="24"/>
          <w:szCs w:val="24"/>
        </w:rPr>
      </w:pPr>
    </w:p>
    <w:p w14:paraId="60B0840E" w14:textId="77777777" w:rsidR="0027574A" w:rsidRDefault="0027574A" w:rsidP="0027574A">
      <w:pPr>
        <w:rPr>
          <w:rFonts w:ascii="Arial" w:hAnsi="Arial" w:cs="Arial"/>
          <w:b/>
          <w:bCs/>
          <w:sz w:val="24"/>
          <w:szCs w:val="24"/>
        </w:rPr>
      </w:pPr>
    </w:p>
    <w:p w14:paraId="60B0840F" w14:textId="77777777" w:rsidR="0027574A" w:rsidRDefault="0027574A" w:rsidP="0027574A">
      <w:pPr>
        <w:rPr>
          <w:rFonts w:ascii="Arial" w:hAnsi="Arial" w:cs="Arial"/>
          <w:b/>
          <w:bCs/>
          <w:sz w:val="24"/>
          <w:szCs w:val="24"/>
        </w:rPr>
      </w:pPr>
    </w:p>
    <w:p w14:paraId="60B08419" w14:textId="005EE977" w:rsidR="0027574A" w:rsidRDefault="00D50DDA" w:rsidP="00D50DDA">
      <w:pPr>
        <w:jc w:val="center"/>
        <w:rPr>
          <w:rFonts w:ascii="Arial" w:hAnsi="Arial" w:cs="Arial"/>
          <w:b/>
          <w:bCs/>
          <w:sz w:val="24"/>
          <w:szCs w:val="24"/>
        </w:rPr>
        <w:sectPr w:rsidR="0027574A" w:rsidSect="0027574A">
          <w:headerReference w:type="default" r:id="rId12"/>
          <w:pgSz w:w="11906" w:h="16838"/>
          <w:pgMar w:top="993" w:right="1440" w:bottom="1440" w:left="1440" w:header="708" w:footer="708" w:gutter="0"/>
          <w:cols w:space="708"/>
          <w:docGrid w:linePitch="360"/>
        </w:sectPr>
      </w:pPr>
      <w:r>
        <w:rPr>
          <w:rFonts w:ascii="Arial" w:hAnsi="Arial" w:cs="Arial"/>
          <w:b/>
          <w:bCs/>
          <w:sz w:val="24"/>
          <w:szCs w:val="24"/>
        </w:rPr>
        <w:t>BLANK PAGE</w:t>
      </w:r>
    </w:p>
    <w:p w14:paraId="60B0841A" w14:textId="77777777" w:rsidR="0027574A" w:rsidRDefault="0027574A" w:rsidP="00C30612">
      <w:pPr>
        <w:pStyle w:val="Heading2"/>
        <w:rPr>
          <w:rFonts w:ascii="Arial" w:hAnsi="Arial" w:cs="Arial"/>
          <w:sz w:val="24"/>
          <w:szCs w:val="24"/>
        </w:rPr>
      </w:pPr>
      <w:r>
        <w:rPr>
          <w:noProof/>
          <w:lang w:val="en-GB" w:eastAsia="en-GB"/>
        </w:rPr>
        <w:lastRenderedPageBreak/>
        <w:drawing>
          <wp:inline distT="0" distB="0" distL="0" distR="0" wp14:anchorId="60B0841D" wp14:editId="60B0841E">
            <wp:extent cx="8743950" cy="56359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748300" cy="5638729"/>
                    </a:xfrm>
                    <a:prstGeom prst="rect">
                      <a:avLst/>
                    </a:prstGeom>
                  </pic:spPr>
                </pic:pic>
              </a:graphicData>
            </a:graphic>
          </wp:inline>
        </w:drawing>
      </w:r>
    </w:p>
    <w:sectPr w:rsidR="0027574A" w:rsidSect="0027574A">
      <w:pgSz w:w="16838" w:h="11906" w:orient="landscape"/>
      <w:pgMar w:top="1440" w:right="99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C0DB" w14:textId="77777777" w:rsidR="007C1EC5" w:rsidRDefault="007C1EC5">
      <w:r>
        <w:separator/>
      </w:r>
    </w:p>
  </w:endnote>
  <w:endnote w:type="continuationSeparator" w:id="0">
    <w:p w14:paraId="517CA896" w14:textId="77777777" w:rsidR="007C1EC5" w:rsidRDefault="007C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F5A5" w14:textId="77777777" w:rsidR="007C1EC5" w:rsidRDefault="007C1EC5">
      <w:r>
        <w:separator/>
      </w:r>
    </w:p>
  </w:footnote>
  <w:footnote w:type="continuationSeparator" w:id="0">
    <w:p w14:paraId="0149A2F8" w14:textId="77777777" w:rsidR="007C1EC5" w:rsidRDefault="007C1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2C82" w14:textId="77E84E87" w:rsidR="007B62BD" w:rsidRDefault="004F398C" w:rsidP="007B62BD">
    <w:pPr>
      <w:pStyle w:val="paragraph"/>
      <w:spacing w:before="0" w:beforeAutospacing="0" w:after="0" w:afterAutospacing="0"/>
      <w:ind w:right="-30"/>
      <w:jc w:val="center"/>
      <w:textAlignment w:val="baseline"/>
      <w:rPr>
        <w:rFonts w:ascii="Segoe UI" w:hAnsi="Segoe UI" w:cs="Segoe UI"/>
        <w:sz w:val="18"/>
        <w:szCs w:val="18"/>
      </w:rPr>
    </w:pPr>
    <w:r>
      <w:rPr>
        <w:rStyle w:val="normaltextrun"/>
        <w:rFonts w:ascii="Calibri" w:hAnsi="Calibri" w:cs="Calibri"/>
        <w:b/>
        <w:bCs/>
      </w:rPr>
      <w:t>Users of this document are asked to acknowledge MLCSU and</w:t>
    </w:r>
    <w:r w:rsidR="007B62BD">
      <w:rPr>
        <w:rStyle w:val="normaltextrun"/>
        <w:rFonts w:ascii="Calibri" w:hAnsi="Calibri" w:cs="Calibri"/>
        <w:b/>
        <w:bCs/>
      </w:rPr>
      <w:t xml:space="preserve"> </w:t>
    </w:r>
    <w:r w:rsidR="000D7CBE">
      <w:rPr>
        <w:rStyle w:val="normaltextrun"/>
        <w:rFonts w:ascii="Calibri" w:hAnsi="Calibri" w:cs="Calibri"/>
        <w:b/>
        <w:bCs/>
      </w:rPr>
      <w:t>Lancashire &amp; South Cumbria MMG</w:t>
    </w:r>
    <w:r w:rsidR="007B62BD">
      <w:rPr>
        <w:rStyle w:val="eop"/>
        <w:rFonts w:eastAsia="Calibri" w:cs="Calibri"/>
      </w:rPr>
      <w:t> </w:t>
    </w:r>
  </w:p>
  <w:p w14:paraId="3EEE38B7" w14:textId="77777777" w:rsidR="007B62BD" w:rsidRDefault="007B62BD" w:rsidP="007B62BD">
    <w:pPr>
      <w:pStyle w:val="paragraph"/>
      <w:spacing w:before="0" w:beforeAutospacing="0" w:after="0" w:afterAutospacing="0"/>
      <w:jc w:val="center"/>
      <w:textAlignment w:val="baseline"/>
      <w:rPr>
        <w:rFonts w:ascii="Segoe UI" w:hAnsi="Segoe UI" w:cs="Segoe UI"/>
        <w:sz w:val="18"/>
        <w:szCs w:val="18"/>
      </w:rPr>
    </w:pPr>
    <w:r>
      <w:rPr>
        <w:rStyle w:val="eop"/>
        <w:rFonts w:eastAsia="Calibri" w:cs="Calibri"/>
      </w:rPr>
      <w:t> </w:t>
    </w:r>
  </w:p>
  <w:p w14:paraId="039A2EED" w14:textId="77777777" w:rsidR="007B62BD" w:rsidRDefault="007B6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6C4F"/>
    <w:multiLevelType w:val="hybridMultilevel"/>
    <w:tmpl w:val="A0FA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321ED"/>
    <w:multiLevelType w:val="hybridMultilevel"/>
    <w:tmpl w:val="7F1C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36722"/>
    <w:multiLevelType w:val="hybridMultilevel"/>
    <w:tmpl w:val="085E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17D54"/>
    <w:multiLevelType w:val="hybridMultilevel"/>
    <w:tmpl w:val="C8F2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16413"/>
    <w:multiLevelType w:val="hybridMultilevel"/>
    <w:tmpl w:val="F8BE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706097"/>
    <w:multiLevelType w:val="hybridMultilevel"/>
    <w:tmpl w:val="7D48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B4F36"/>
    <w:multiLevelType w:val="hybridMultilevel"/>
    <w:tmpl w:val="2A4609D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4A4"/>
    <w:rsid w:val="000D7CBE"/>
    <w:rsid w:val="00125244"/>
    <w:rsid w:val="00155B56"/>
    <w:rsid w:val="00177473"/>
    <w:rsid w:val="001D7148"/>
    <w:rsid w:val="00200485"/>
    <w:rsid w:val="0027574A"/>
    <w:rsid w:val="00390C3F"/>
    <w:rsid w:val="00406825"/>
    <w:rsid w:val="0045281B"/>
    <w:rsid w:val="004F398C"/>
    <w:rsid w:val="005A54A4"/>
    <w:rsid w:val="005C03DC"/>
    <w:rsid w:val="006D5719"/>
    <w:rsid w:val="006F3C3D"/>
    <w:rsid w:val="00735BBA"/>
    <w:rsid w:val="00775767"/>
    <w:rsid w:val="007B62BD"/>
    <w:rsid w:val="007C1EC5"/>
    <w:rsid w:val="00824B07"/>
    <w:rsid w:val="008377D5"/>
    <w:rsid w:val="0093260F"/>
    <w:rsid w:val="00A05C07"/>
    <w:rsid w:val="00A30BC4"/>
    <w:rsid w:val="00C30612"/>
    <w:rsid w:val="00C66AC9"/>
    <w:rsid w:val="00D0019D"/>
    <w:rsid w:val="00D42E57"/>
    <w:rsid w:val="00D50DDA"/>
    <w:rsid w:val="00D97F6A"/>
    <w:rsid w:val="00DB5981"/>
    <w:rsid w:val="00DF2E4C"/>
    <w:rsid w:val="00E12A9B"/>
    <w:rsid w:val="00F65A7B"/>
    <w:rsid w:val="00FB6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83A6"/>
  <w15:docId w15:val="{E321E622-DCDB-435D-A9D7-388FE6AF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4A4"/>
    <w:pPr>
      <w:spacing w:after="0" w:line="240" w:lineRule="auto"/>
    </w:pPr>
    <w:rPr>
      <w:rFonts w:ascii="Calibri" w:eastAsia="Calibri" w:hAnsi="Calibri" w:cs="Times New Roman"/>
      <w:lang w:val="en-US"/>
    </w:rPr>
  </w:style>
  <w:style w:type="paragraph" w:styleId="Heading2">
    <w:name w:val="heading 2"/>
    <w:basedOn w:val="Normal"/>
    <w:next w:val="Normal"/>
    <w:link w:val="Heading2Char"/>
    <w:uiPriority w:val="9"/>
    <w:unhideWhenUsed/>
    <w:qFormat/>
    <w:rsid w:val="00C306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4A4"/>
    <w:pPr>
      <w:ind w:left="720"/>
      <w:contextualSpacing/>
    </w:pPr>
  </w:style>
  <w:style w:type="paragraph" w:styleId="BalloonText">
    <w:name w:val="Balloon Text"/>
    <w:basedOn w:val="Normal"/>
    <w:link w:val="BalloonTextChar"/>
    <w:uiPriority w:val="99"/>
    <w:semiHidden/>
    <w:unhideWhenUsed/>
    <w:rsid w:val="005A54A4"/>
    <w:rPr>
      <w:rFonts w:ascii="Tahoma" w:hAnsi="Tahoma" w:cs="Tahoma"/>
      <w:sz w:val="16"/>
      <w:szCs w:val="16"/>
    </w:rPr>
  </w:style>
  <w:style w:type="character" w:customStyle="1" w:styleId="BalloonTextChar">
    <w:name w:val="Balloon Text Char"/>
    <w:basedOn w:val="DefaultParagraphFont"/>
    <w:link w:val="BalloonText"/>
    <w:uiPriority w:val="99"/>
    <w:semiHidden/>
    <w:rsid w:val="005A54A4"/>
    <w:rPr>
      <w:rFonts w:ascii="Tahoma" w:eastAsia="Calibri" w:hAnsi="Tahoma" w:cs="Tahoma"/>
      <w:sz w:val="16"/>
      <w:szCs w:val="16"/>
      <w:lang w:val="en-US"/>
    </w:rPr>
  </w:style>
  <w:style w:type="paragraph" w:styleId="Header">
    <w:name w:val="header"/>
    <w:basedOn w:val="Normal"/>
    <w:link w:val="HeaderChar"/>
    <w:uiPriority w:val="99"/>
    <w:unhideWhenUsed/>
    <w:rsid w:val="00D97F6A"/>
    <w:pPr>
      <w:tabs>
        <w:tab w:val="center" w:pos="4513"/>
        <w:tab w:val="right" w:pos="9026"/>
      </w:tabs>
    </w:pPr>
    <w:rPr>
      <w:lang w:val="en-GB"/>
    </w:rPr>
  </w:style>
  <w:style w:type="character" w:customStyle="1" w:styleId="HeaderChar">
    <w:name w:val="Header Char"/>
    <w:basedOn w:val="DefaultParagraphFont"/>
    <w:link w:val="Header"/>
    <w:uiPriority w:val="99"/>
    <w:rsid w:val="00D97F6A"/>
    <w:rPr>
      <w:rFonts w:ascii="Calibri" w:eastAsia="Calibri" w:hAnsi="Calibri" w:cs="Times New Roman"/>
    </w:rPr>
  </w:style>
  <w:style w:type="paragraph" w:styleId="Footer">
    <w:name w:val="footer"/>
    <w:basedOn w:val="Normal"/>
    <w:link w:val="FooterChar"/>
    <w:uiPriority w:val="99"/>
    <w:unhideWhenUsed/>
    <w:rsid w:val="00D97F6A"/>
    <w:pPr>
      <w:tabs>
        <w:tab w:val="center" w:pos="4513"/>
        <w:tab w:val="right" w:pos="9026"/>
      </w:tabs>
    </w:pPr>
    <w:rPr>
      <w:lang w:val="en-GB"/>
    </w:rPr>
  </w:style>
  <w:style w:type="character" w:customStyle="1" w:styleId="FooterChar">
    <w:name w:val="Footer Char"/>
    <w:basedOn w:val="DefaultParagraphFont"/>
    <w:link w:val="Footer"/>
    <w:uiPriority w:val="99"/>
    <w:rsid w:val="00D97F6A"/>
    <w:rPr>
      <w:rFonts w:ascii="Calibri" w:eastAsia="Calibri" w:hAnsi="Calibri" w:cs="Times New Roman"/>
    </w:rPr>
  </w:style>
  <w:style w:type="paragraph" w:styleId="NormalWeb">
    <w:name w:val="Normal (Web)"/>
    <w:basedOn w:val="Normal"/>
    <w:rsid w:val="00D97F6A"/>
    <w:pPr>
      <w:spacing w:before="100" w:beforeAutospacing="1" w:after="100" w:afterAutospacing="1"/>
    </w:pPr>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D97F6A"/>
    <w:rPr>
      <w:color w:val="0000FF" w:themeColor="hyperlink"/>
      <w:u w:val="single"/>
    </w:rPr>
  </w:style>
  <w:style w:type="character" w:customStyle="1" w:styleId="Heading2Char">
    <w:name w:val="Heading 2 Char"/>
    <w:basedOn w:val="DefaultParagraphFont"/>
    <w:link w:val="Heading2"/>
    <w:uiPriority w:val="9"/>
    <w:rsid w:val="00C30612"/>
    <w:rPr>
      <w:rFonts w:asciiTheme="majorHAnsi" w:eastAsiaTheme="majorEastAsia" w:hAnsiTheme="majorHAnsi" w:cstheme="majorBidi"/>
      <w:b/>
      <w:bCs/>
      <w:color w:val="4F81BD" w:themeColor="accent1"/>
      <w:sz w:val="26"/>
      <w:szCs w:val="26"/>
      <w:lang w:val="en-US"/>
    </w:rPr>
  </w:style>
  <w:style w:type="character" w:styleId="UnresolvedMention">
    <w:name w:val="Unresolved Mention"/>
    <w:basedOn w:val="DefaultParagraphFont"/>
    <w:uiPriority w:val="99"/>
    <w:semiHidden/>
    <w:unhideWhenUsed/>
    <w:rsid w:val="00A30BC4"/>
    <w:rPr>
      <w:color w:val="605E5C"/>
      <w:shd w:val="clear" w:color="auto" w:fill="E1DFDD"/>
    </w:rPr>
  </w:style>
  <w:style w:type="character" w:styleId="CommentReference">
    <w:name w:val="annotation reference"/>
    <w:basedOn w:val="DefaultParagraphFont"/>
    <w:uiPriority w:val="99"/>
    <w:semiHidden/>
    <w:unhideWhenUsed/>
    <w:rsid w:val="0045281B"/>
    <w:rPr>
      <w:sz w:val="16"/>
      <w:szCs w:val="16"/>
    </w:rPr>
  </w:style>
  <w:style w:type="paragraph" w:styleId="CommentText">
    <w:name w:val="annotation text"/>
    <w:basedOn w:val="Normal"/>
    <w:link w:val="CommentTextChar"/>
    <w:uiPriority w:val="99"/>
    <w:semiHidden/>
    <w:unhideWhenUsed/>
    <w:rsid w:val="0045281B"/>
    <w:rPr>
      <w:sz w:val="20"/>
      <w:szCs w:val="20"/>
    </w:rPr>
  </w:style>
  <w:style w:type="character" w:customStyle="1" w:styleId="CommentTextChar">
    <w:name w:val="Comment Text Char"/>
    <w:basedOn w:val="DefaultParagraphFont"/>
    <w:link w:val="CommentText"/>
    <w:uiPriority w:val="99"/>
    <w:semiHidden/>
    <w:rsid w:val="0045281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5281B"/>
    <w:rPr>
      <w:b/>
      <w:bCs/>
    </w:rPr>
  </w:style>
  <w:style w:type="character" w:customStyle="1" w:styleId="CommentSubjectChar">
    <w:name w:val="Comment Subject Char"/>
    <w:basedOn w:val="CommentTextChar"/>
    <w:link w:val="CommentSubject"/>
    <w:uiPriority w:val="99"/>
    <w:semiHidden/>
    <w:rsid w:val="0045281B"/>
    <w:rPr>
      <w:rFonts w:ascii="Calibri" w:eastAsia="Calibri" w:hAnsi="Calibri" w:cs="Times New Roman"/>
      <w:b/>
      <w:bCs/>
      <w:sz w:val="20"/>
      <w:szCs w:val="20"/>
      <w:lang w:val="en-US"/>
    </w:rPr>
  </w:style>
  <w:style w:type="paragraph" w:customStyle="1" w:styleId="paragraph">
    <w:name w:val="paragraph"/>
    <w:basedOn w:val="Normal"/>
    <w:rsid w:val="007B62BD"/>
    <w:pPr>
      <w:spacing w:before="100" w:beforeAutospacing="1" w:after="100" w:afterAutospacing="1"/>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7B62BD"/>
  </w:style>
  <w:style w:type="character" w:customStyle="1" w:styleId="eop">
    <w:name w:val="eop"/>
    <w:basedOn w:val="DefaultParagraphFont"/>
    <w:rsid w:val="007B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6734">
      <w:bodyDiv w:val="1"/>
      <w:marLeft w:val="0"/>
      <w:marRight w:val="0"/>
      <w:marTop w:val="0"/>
      <w:marBottom w:val="0"/>
      <w:divBdr>
        <w:top w:val="none" w:sz="0" w:space="0" w:color="auto"/>
        <w:left w:val="none" w:sz="0" w:space="0" w:color="auto"/>
        <w:bottom w:val="none" w:sz="0" w:space="0" w:color="auto"/>
        <w:right w:val="none" w:sz="0" w:space="0" w:color="auto"/>
      </w:divBdr>
      <w:divsChild>
        <w:div w:id="899361919">
          <w:marLeft w:val="0"/>
          <w:marRight w:val="0"/>
          <w:marTop w:val="0"/>
          <w:marBottom w:val="0"/>
          <w:divBdr>
            <w:top w:val="none" w:sz="0" w:space="0" w:color="auto"/>
            <w:left w:val="none" w:sz="0" w:space="0" w:color="auto"/>
            <w:bottom w:val="none" w:sz="0" w:space="0" w:color="auto"/>
            <w:right w:val="none" w:sz="0" w:space="0" w:color="auto"/>
          </w:divBdr>
        </w:div>
        <w:div w:id="281615338">
          <w:marLeft w:val="0"/>
          <w:marRight w:val="0"/>
          <w:marTop w:val="0"/>
          <w:marBottom w:val="0"/>
          <w:divBdr>
            <w:top w:val="none" w:sz="0" w:space="0" w:color="auto"/>
            <w:left w:val="none" w:sz="0" w:space="0" w:color="auto"/>
            <w:bottom w:val="none" w:sz="0" w:space="0" w:color="auto"/>
            <w:right w:val="none" w:sz="0" w:space="0" w:color="auto"/>
          </w:divBdr>
        </w:div>
        <w:div w:id="2019312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ZTN2ZK5Q2N6R-269579676-249526</_dlc_DocId>
    <_dlc_DocIdUrl xmlns="9ecf9374-0d71-4a51-a9c5-198dd68970ed">
      <Url>https://csucloudservices.sharepoint.com/teams/quality/medicine/_layouts/15/DocIdRedir.aspx?ID=ZTN2ZK5Q2N6R-269579676-249526</Url>
      <Description>ZTN2ZK5Q2N6R-269579676-249526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5C1EA2D74CCBA46BC697DE6D9779DEA" ma:contentTypeVersion="603" ma:contentTypeDescription="Create a new document." ma:contentTypeScope="" ma:versionID="f2e10d1f032a75e94f22bf6f7e8132be">
  <xsd:schema xmlns:xsd="http://www.w3.org/2001/XMLSchema" xmlns:xs="http://www.w3.org/2001/XMLSchema" xmlns:p="http://schemas.microsoft.com/office/2006/metadata/properties" xmlns:ns2="9ecf9374-0d71-4a51-a9c5-198dd68970ed" xmlns:ns3="89f49606-91cd-4510-9d53-2c4ba9c64156" targetNamespace="http://schemas.microsoft.com/office/2006/metadata/properties" ma:root="true" ma:fieldsID="b525beabfa7ae49545ddc97f9e6c8d25" ns2:_="" ns3:_="">
    <xsd:import namespace="9ecf9374-0d71-4a51-a9c5-198dd68970ed"/>
    <xsd:import namespace="89f49606-91cd-4510-9d53-2c4ba9c6415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49606-91cd-4510-9d53-2c4ba9c64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2FB12-6FA5-4EFB-A736-55194DC15491}">
  <ds:schemaRefs>
    <ds:schemaRef ds:uri="http://schemas.microsoft.com/office/2006/metadata/properties"/>
    <ds:schemaRef ds:uri="http://schemas.microsoft.com/office/infopath/2007/PartnerControls"/>
    <ds:schemaRef ds:uri="9ecf9374-0d71-4a51-a9c5-198dd68970ed"/>
  </ds:schemaRefs>
</ds:datastoreItem>
</file>

<file path=customXml/itemProps2.xml><?xml version="1.0" encoding="utf-8"?>
<ds:datastoreItem xmlns:ds="http://schemas.openxmlformats.org/officeDocument/2006/customXml" ds:itemID="{E7FDB005-A6E4-4BFF-A29F-C60D899DCE43}">
  <ds:schemaRefs>
    <ds:schemaRef ds:uri="http://schemas.microsoft.com/sharepoint/v3/contenttype/forms"/>
  </ds:schemaRefs>
</ds:datastoreItem>
</file>

<file path=customXml/itemProps3.xml><?xml version="1.0" encoding="utf-8"?>
<ds:datastoreItem xmlns:ds="http://schemas.openxmlformats.org/officeDocument/2006/customXml" ds:itemID="{EF5B7BB5-BC69-4587-826D-839CB68BDE5F}">
  <ds:schemaRefs>
    <ds:schemaRef ds:uri="http://schemas.openxmlformats.org/officeDocument/2006/bibliography"/>
  </ds:schemaRefs>
</ds:datastoreItem>
</file>

<file path=customXml/itemProps4.xml><?xml version="1.0" encoding="utf-8"?>
<ds:datastoreItem xmlns:ds="http://schemas.openxmlformats.org/officeDocument/2006/customXml" ds:itemID="{AD8B80E3-4AFE-455E-B6DC-47ED0F572D79}">
  <ds:schemaRefs>
    <ds:schemaRef ds:uri="http://schemas.microsoft.com/sharepoint/events"/>
  </ds:schemaRefs>
</ds:datastoreItem>
</file>

<file path=customXml/itemProps5.xml><?xml version="1.0" encoding="utf-8"?>
<ds:datastoreItem xmlns:ds="http://schemas.openxmlformats.org/officeDocument/2006/customXml" ds:itemID="{4040DD82-A827-49CC-A22E-C528F39B9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89f49606-91cd-4510-9d53-2c4ba9c64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Johnstone (CLPCT)</dc:creator>
  <cp:lastModifiedBy>Jonathan Horgan (MLCSU)</cp:lastModifiedBy>
  <cp:revision>10</cp:revision>
  <dcterms:created xsi:type="dcterms:W3CDTF">2021-03-23T11:47:00Z</dcterms:created>
  <dcterms:modified xsi:type="dcterms:W3CDTF">2021-12-01T13:01:00Z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0x01010065C1EA2D74CCBA46BC697DE6D9779DEA</vt:lpwstr>
  </property>
  <property fmtid="{D5CDD505-2E9C-101B-9397-08002B2CF9AE}" pid="3" name="Order">
    <vt:r8>100</vt:r8>
  </property>
  <property fmtid="{D5CDD505-2E9C-101B-9397-08002B2CF9AE}" pid="4" name="_dlc_DocIdItemGuid">
    <vt:lpwstr>531b4c06-129d-4765-8335-5b88f14d86bc</vt:lpwstr>
  </property>
</Properties>
</file>